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73CF" w14:textId="5D929467" w:rsidR="001E58F6" w:rsidRPr="0019045B" w:rsidRDefault="00222A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DC3C39" w:rsidRPr="00DC3C39">
        <w:rPr>
          <w:rFonts w:ascii="Arial" w:hAnsi="Arial" w:cs="Arial"/>
          <w:b/>
          <w:sz w:val="20"/>
          <w:szCs w:val="20"/>
        </w:rPr>
        <w:t>H</w:t>
      </w:r>
      <w:r w:rsidR="00DC3C39" w:rsidRPr="00DC3C3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DC3C39" w:rsidRPr="00DC3C39">
        <w:rPr>
          <w:rFonts w:ascii="Arial" w:hAnsi="Arial" w:cs="Arial"/>
          <w:b/>
          <w:sz w:val="20"/>
          <w:szCs w:val="20"/>
        </w:rPr>
        <w:t xml:space="preserve"> Episodes of Care Benchmarks</w:t>
      </w:r>
      <w:r w:rsidR="00DC3C39" w:rsidRPr="0019045B">
        <w:rPr>
          <w:rFonts w:ascii="Arial" w:hAnsi="Arial" w:cs="Arial"/>
          <w:b/>
          <w:sz w:val="20"/>
          <w:szCs w:val="20"/>
        </w:rPr>
        <w:t xml:space="preserve"> </w:t>
      </w:r>
      <w:r w:rsidR="00C91268">
        <w:rPr>
          <w:rFonts w:ascii="Arial" w:hAnsi="Arial" w:cs="Arial"/>
          <w:b/>
          <w:sz w:val="20"/>
          <w:szCs w:val="20"/>
        </w:rPr>
        <w:t>Marketing</w:t>
      </w:r>
      <w:r w:rsidR="0013412D" w:rsidRPr="0019045B">
        <w:rPr>
          <w:rFonts w:ascii="Arial" w:hAnsi="Arial" w:cs="Arial"/>
          <w:b/>
          <w:sz w:val="20"/>
          <w:szCs w:val="20"/>
        </w:rPr>
        <w:t xml:space="preserve"> Video Script</w:t>
      </w:r>
      <w:r w:rsidR="00B4160B">
        <w:rPr>
          <w:rFonts w:ascii="Arial" w:hAnsi="Arial" w:cs="Arial"/>
          <w:b/>
          <w:sz w:val="20"/>
          <w:szCs w:val="20"/>
        </w:rPr>
        <w:t xml:space="preserve"> </w:t>
      </w:r>
    </w:p>
    <w:p w14:paraId="23A5685C" w14:textId="77777777" w:rsidR="004A060F" w:rsidRPr="0019045B" w:rsidRDefault="004A060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4139"/>
        <w:gridCol w:w="4405"/>
      </w:tblGrid>
      <w:tr w:rsidR="00550010" w:rsidRPr="0019045B" w14:paraId="493AB8D0" w14:textId="77777777" w:rsidTr="002A5FFC">
        <w:tc>
          <w:tcPr>
            <w:tcW w:w="806" w:type="dxa"/>
          </w:tcPr>
          <w:p w14:paraId="1BA15862" w14:textId="77777777" w:rsidR="004A060F" w:rsidRPr="00A202C2" w:rsidRDefault="00A34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2C2">
              <w:rPr>
                <w:rFonts w:ascii="Arial" w:hAnsi="Arial" w:cs="Arial"/>
                <w:b/>
                <w:sz w:val="20"/>
                <w:szCs w:val="20"/>
              </w:rPr>
              <w:t>Scene</w:t>
            </w:r>
          </w:p>
        </w:tc>
        <w:tc>
          <w:tcPr>
            <w:tcW w:w="4139" w:type="dxa"/>
          </w:tcPr>
          <w:p w14:paraId="17C85B9B" w14:textId="77777777" w:rsidR="004A060F" w:rsidRPr="00A202C2" w:rsidRDefault="00A34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2C2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4405" w:type="dxa"/>
          </w:tcPr>
          <w:p w14:paraId="7C6EFF07" w14:textId="77777777" w:rsidR="004A060F" w:rsidRPr="00A202C2" w:rsidRDefault="00A34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2C2">
              <w:rPr>
                <w:rFonts w:ascii="Arial" w:hAnsi="Arial" w:cs="Arial"/>
                <w:b/>
                <w:sz w:val="20"/>
                <w:szCs w:val="20"/>
              </w:rPr>
              <w:t>Audio</w:t>
            </w:r>
          </w:p>
        </w:tc>
      </w:tr>
      <w:tr w:rsidR="00550010" w:rsidRPr="0019045B" w14:paraId="370194BC" w14:textId="77777777" w:rsidTr="002A5FFC">
        <w:tc>
          <w:tcPr>
            <w:tcW w:w="806" w:type="dxa"/>
          </w:tcPr>
          <w:p w14:paraId="6CD0D468" w14:textId="77777777" w:rsidR="004A060F" w:rsidRPr="0019045B" w:rsidRDefault="0013412D">
            <w:pPr>
              <w:rPr>
                <w:rFonts w:ascii="Arial" w:hAnsi="Arial" w:cs="Arial"/>
                <w:sz w:val="20"/>
                <w:szCs w:val="20"/>
              </w:rPr>
            </w:pPr>
            <w:r w:rsidRPr="001904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14:paraId="2271999C" w14:textId="77777777" w:rsidR="004A060F" w:rsidRPr="0019045B" w:rsidRDefault="004A0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0F127" w14:textId="77777777" w:rsidR="009B5D12" w:rsidRDefault="009B5D1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F003F4E" w14:textId="77777777" w:rsidR="009B5D12" w:rsidRDefault="009B5D1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5F639F3" w14:textId="7A1B39E8" w:rsidR="00B71B3E" w:rsidRDefault="009B5D12">
            <w:pPr>
              <w:rPr>
                <w:rFonts w:ascii="Arial" w:hAnsi="Arial" w:cs="Arial"/>
                <w:sz w:val="20"/>
                <w:szCs w:val="20"/>
              </w:rPr>
            </w:pPr>
            <w:r w:rsidRPr="009B5D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D0CD7C" wp14:editId="3562DC61">
                  <wp:extent cx="2359152" cy="1664208"/>
                  <wp:effectExtent l="0" t="0" r="3175" b="0"/>
                  <wp:docPr id="25" name="Picture 25" descr="C:\Users\wwheeler\Documents\Benchmarks Video\stock-photo-health-care-cost-concept-with-medical-bill-and-health-insurance-claim-form-473248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wheeler\Documents\Benchmarks Video\stock-photo-health-care-cost-concept-with-medical-bill-and-health-insurance-claim-form-473248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152" cy="166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2A492" w14:textId="77777777" w:rsidR="00B71B3E" w:rsidRDefault="00B71B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ECB03" w14:textId="226905D1" w:rsidR="00C846D7" w:rsidRPr="0019045B" w:rsidRDefault="009B5D12">
            <w:pPr>
              <w:rPr>
                <w:rFonts w:ascii="Arial" w:hAnsi="Arial" w:cs="Arial"/>
                <w:sz w:val="20"/>
                <w:szCs w:val="20"/>
              </w:rPr>
            </w:pPr>
            <w:r w:rsidRPr="009B5D12">
              <w:rPr>
                <w:rFonts w:ascii="Arial" w:hAnsi="Arial" w:cs="Arial"/>
                <w:sz w:val="20"/>
                <w:szCs w:val="20"/>
              </w:rPr>
              <w:t>https://www.shutterstock.com/image-photo/health-care-cost-concept-medical-bill-473248675?src=DTKndXrsg4eXOapneA_VXA-1-25</w:t>
            </w:r>
          </w:p>
        </w:tc>
        <w:tc>
          <w:tcPr>
            <w:tcW w:w="4405" w:type="dxa"/>
          </w:tcPr>
          <w:p w14:paraId="1EC8A5F1" w14:textId="2A7A5CC2" w:rsidR="00D22225" w:rsidRDefault="004C1769" w:rsidP="0013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It’s the new reality. </w:t>
            </w:r>
            <w:r w:rsidR="00DD7F22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D22225">
              <w:rPr>
                <w:rFonts w:ascii="Arial" w:hAnsi="Arial" w:cs="Arial"/>
                <w:sz w:val="20"/>
                <w:szCs w:val="20"/>
              </w:rPr>
              <w:t>our</w:t>
            </w:r>
            <w:r w:rsidR="00DD7F22">
              <w:rPr>
                <w:rFonts w:ascii="Arial" w:hAnsi="Arial" w:cs="Arial"/>
                <w:sz w:val="20"/>
                <w:szCs w:val="20"/>
              </w:rPr>
              <w:t xml:space="preserve"> healthcare system strives to contain costs, b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>illin</w:t>
            </w:r>
            <w:r w:rsidR="0091563C">
              <w:rPr>
                <w:rFonts w:ascii="Arial" w:hAnsi="Arial" w:cs="Arial"/>
                <w:sz w:val="20"/>
                <w:szCs w:val="20"/>
              </w:rPr>
              <w:t>g for</w:t>
            </w:r>
            <w:r w:rsidR="00FA0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047">
              <w:rPr>
                <w:rFonts w:ascii="Arial" w:hAnsi="Arial" w:cs="Arial"/>
                <w:sz w:val="20"/>
                <w:szCs w:val="20"/>
              </w:rPr>
              <w:t>e</w:t>
            </w:r>
            <w:r w:rsidR="00FA0770">
              <w:rPr>
                <w:rFonts w:ascii="Arial" w:hAnsi="Arial" w:cs="Arial"/>
                <w:sz w:val="20"/>
                <w:szCs w:val="20"/>
              </w:rPr>
              <w:t>pisodes</w:t>
            </w:r>
            <w:r w:rsidR="004A2047">
              <w:rPr>
                <w:rFonts w:ascii="Arial" w:hAnsi="Arial" w:cs="Arial"/>
                <w:sz w:val="20"/>
                <w:szCs w:val="20"/>
              </w:rPr>
              <w:t xml:space="preserve"> of care</w:t>
            </w:r>
            <w:r w:rsidR="00FA0770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s becoming</w:t>
            </w:r>
            <w:r w:rsidR="00915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F22">
              <w:rPr>
                <w:rFonts w:ascii="Arial" w:hAnsi="Arial" w:cs="Arial"/>
                <w:sz w:val="20"/>
                <w:szCs w:val="20"/>
              </w:rPr>
              <w:t>increasingly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8F6">
              <w:rPr>
                <w:rFonts w:ascii="Arial" w:hAnsi="Arial" w:cs="Arial"/>
                <w:sz w:val="20"/>
                <w:szCs w:val="20"/>
              </w:rPr>
              <w:t>popular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01F0">
              <w:rPr>
                <w:rFonts w:ascii="Arial" w:hAnsi="Arial" w:cs="Arial"/>
                <w:sz w:val="20"/>
                <w:szCs w:val="20"/>
              </w:rPr>
              <w:t xml:space="preserve">An episode of care is </w:t>
            </w:r>
            <w:r w:rsidR="00A001F0" w:rsidRPr="00C04EBE">
              <w:rPr>
                <w:rFonts w:ascii="Arial" w:hAnsi="Arial" w:cs="Arial"/>
                <w:sz w:val="20"/>
                <w:szCs w:val="20"/>
              </w:rPr>
              <w:t>the full range of procedures associated with beginning-to-end treatment for common illnesses, chronic conditions and surgeries</w:t>
            </w:r>
            <w:r w:rsidR="00A001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EB1B10" w14:textId="77777777" w:rsidR="00D22225" w:rsidRDefault="00D22225" w:rsidP="00134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9F5C7" w14:textId="25ED6BE6" w:rsidR="00D22225" w:rsidRDefault="004C1769" w:rsidP="0013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</w:t>
            </w:r>
            <w:r w:rsidR="00E97C6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creates a challenge for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6EE">
              <w:rPr>
                <w:rFonts w:ascii="Arial" w:hAnsi="Arial" w:cs="Arial"/>
                <w:sz w:val="20"/>
                <w:szCs w:val="20"/>
              </w:rPr>
              <w:t xml:space="preserve">payors and 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>pr</w:t>
            </w:r>
            <w:r w:rsidR="00E167CB">
              <w:rPr>
                <w:rFonts w:ascii="Arial" w:hAnsi="Arial" w:cs="Arial"/>
                <w:sz w:val="20"/>
                <w:szCs w:val="20"/>
              </w:rPr>
              <w:t xml:space="preserve">oviders </w:t>
            </w:r>
            <w:r>
              <w:rPr>
                <w:rFonts w:ascii="Arial" w:hAnsi="Arial" w:cs="Arial"/>
                <w:sz w:val="20"/>
                <w:szCs w:val="20"/>
              </w:rPr>
              <w:t xml:space="preserve">alike. </w:t>
            </w:r>
            <w:r w:rsidR="00E167CB">
              <w:rPr>
                <w:rFonts w:ascii="Arial" w:hAnsi="Arial" w:cs="Arial"/>
                <w:sz w:val="20"/>
                <w:szCs w:val="20"/>
              </w:rPr>
              <w:t>H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>ow much does a</w:t>
            </w:r>
            <w:r w:rsidR="00C75BF6">
              <w:rPr>
                <w:rFonts w:ascii="Arial" w:hAnsi="Arial" w:cs="Arial"/>
                <w:sz w:val="20"/>
                <w:szCs w:val="20"/>
              </w:rPr>
              <w:t>n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 xml:space="preserve"> episode of care actually cost? How do you factor in comorbidities and risk factors</w:t>
            </w:r>
            <w:r w:rsidR="00C75BF6">
              <w:rPr>
                <w:rFonts w:ascii="Arial" w:hAnsi="Arial" w:cs="Arial"/>
                <w:sz w:val="20"/>
                <w:szCs w:val="20"/>
              </w:rPr>
              <w:t xml:space="preserve"> associated with patients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>? How can you compare allowed</w:t>
            </w:r>
            <w:r w:rsidR="00C75BF6">
              <w:rPr>
                <w:rFonts w:ascii="Arial" w:hAnsi="Arial" w:cs="Arial"/>
                <w:sz w:val="20"/>
                <w:szCs w:val="20"/>
              </w:rPr>
              <w:t xml:space="preserve"> or negotiated </w:t>
            </w:r>
            <w:r w:rsidR="00A125F5">
              <w:rPr>
                <w:rFonts w:ascii="Arial" w:hAnsi="Arial" w:cs="Arial"/>
                <w:sz w:val="20"/>
                <w:szCs w:val="20"/>
              </w:rPr>
              <w:t>amounts</w:t>
            </w:r>
            <w:r w:rsidR="00C75BF6">
              <w:rPr>
                <w:rFonts w:ascii="Arial" w:hAnsi="Arial" w:cs="Arial"/>
                <w:sz w:val="20"/>
                <w:szCs w:val="20"/>
              </w:rPr>
              <w:t xml:space="preserve"> with billed</w:t>
            </w:r>
            <w:r w:rsidR="000826EE" w:rsidRPr="00190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A86">
              <w:rPr>
                <w:rFonts w:ascii="Arial" w:hAnsi="Arial" w:cs="Arial"/>
                <w:sz w:val="20"/>
                <w:szCs w:val="20"/>
              </w:rPr>
              <w:t>charge</w:t>
            </w:r>
            <w:r w:rsidR="00C75BF6">
              <w:rPr>
                <w:rFonts w:ascii="Arial" w:hAnsi="Arial" w:cs="Arial"/>
                <w:sz w:val="20"/>
                <w:szCs w:val="20"/>
              </w:rPr>
              <w:t>s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C3054C" w14:textId="77777777" w:rsidR="00D22225" w:rsidRDefault="00D22225" w:rsidP="00134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56070" w14:textId="20512C5A" w:rsidR="004A060F" w:rsidRPr="0019045B" w:rsidRDefault="004C1769" w:rsidP="00C7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F4862">
              <w:rPr>
                <w:rFonts w:ascii="Arial" w:hAnsi="Arial" w:cs="Arial"/>
                <w:sz w:val="20"/>
                <w:szCs w:val="20"/>
              </w:rPr>
              <w:t>perhaps most importantly—</w:t>
            </w:r>
            <w:r>
              <w:rPr>
                <w:rFonts w:ascii="Arial" w:hAnsi="Arial" w:cs="Arial"/>
                <w:sz w:val="20"/>
                <w:szCs w:val="20"/>
              </w:rPr>
              <w:t xml:space="preserve">how do </w:t>
            </w:r>
            <w:r w:rsidRPr="004C1769">
              <w:rPr>
                <w:rFonts w:ascii="Arial" w:hAnsi="Arial" w:cs="Arial"/>
                <w:i/>
                <w:sz w:val="20"/>
                <w:szCs w:val="20"/>
              </w:rPr>
              <w:t>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BF6">
              <w:rPr>
                <w:rFonts w:ascii="Arial" w:hAnsi="Arial" w:cs="Arial"/>
                <w:sz w:val="20"/>
                <w:szCs w:val="20"/>
              </w:rPr>
              <w:t>costs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to </w:t>
            </w:r>
            <w:r w:rsidR="00E97C60">
              <w:rPr>
                <w:rFonts w:ascii="Arial" w:hAnsi="Arial" w:cs="Arial"/>
                <w:sz w:val="20"/>
                <w:szCs w:val="20"/>
              </w:rPr>
              <w:t xml:space="preserve">those of </w:t>
            </w:r>
            <w:r>
              <w:rPr>
                <w:rFonts w:ascii="Arial" w:hAnsi="Arial" w:cs="Arial"/>
                <w:sz w:val="20"/>
                <w:szCs w:val="20"/>
              </w:rPr>
              <w:t>other entities?</w:t>
            </w:r>
          </w:p>
        </w:tc>
      </w:tr>
      <w:tr w:rsidR="00550010" w:rsidRPr="0019045B" w14:paraId="76B8AFCB" w14:textId="77777777" w:rsidTr="002A5FFC">
        <w:tc>
          <w:tcPr>
            <w:tcW w:w="806" w:type="dxa"/>
          </w:tcPr>
          <w:p w14:paraId="52B3C74A" w14:textId="77777777" w:rsidR="004A060F" w:rsidRPr="0019045B" w:rsidRDefault="007E1021">
            <w:pPr>
              <w:rPr>
                <w:rFonts w:ascii="Arial" w:hAnsi="Arial" w:cs="Arial"/>
                <w:sz w:val="20"/>
                <w:szCs w:val="20"/>
              </w:rPr>
            </w:pPr>
            <w:r w:rsidRPr="001904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</w:tcPr>
          <w:p w14:paraId="36036151" w14:textId="77777777" w:rsidR="00922AAF" w:rsidRDefault="00922A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B304B" w14:textId="77777777" w:rsidR="00922AAF" w:rsidRDefault="00922A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150F6" w14:textId="5643C3FB" w:rsidR="00973AD3" w:rsidRDefault="00394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0F7113">
              <w:rPr>
                <w:rFonts w:ascii="Arial" w:hAnsi="Arial" w:cs="Arial"/>
                <w:sz w:val="20"/>
                <w:szCs w:val="20"/>
              </w:rPr>
              <w:t>T</w:t>
            </w:r>
            <w:r w:rsidR="00973AD3">
              <w:rPr>
                <w:rFonts w:ascii="Arial" w:hAnsi="Arial" w:cs="Arial"/>
                <w:sz w:val="20"/>
                <w:szCs w:val="20"/>
              </w:rPr>
              <w:t xml:space="preserve">itle </w:t>
            </w:r>
            <w:r w:rsidR="003A72A7">
              <w:rPr>
                <w:rFonts w:ascii="Arial" w:hAnsi="Arial" w:cs="Arial"/>
                <w:sz w:val="20"/>
                <w:szCs w:val="20"/>
              </w:rPr>
              <w:t>slide</w:t>
            </w:r>
            <w:r w:rsidR="00973AD3">
              <w:rPr>
                <w:rFonts w:ascii="Arial" w:hAnsi="Arial" w:cs="Arial"/>
                <w:sz w:val="20"/>
                <w:szCs w:val="20"/>
              </w:rPr>
              <w:t xml:space="preserve"> reading: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92E1A16" w14:textId="77777777" w:rsidR="00973AD3" w:rsidRDefault="00973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36183" w14:textId="00C25D16" w:rsidR="00602526" w:rsidRPr="0019045B" w:rsidRDefault="00973AD3">
            <w:pPr>
              <w:rPr>
                <w:rFonts w:ascii="Arial" w:hAnsi="Arial" w:cs="Arial"/>
                <w:sz w:val="20"/>
                <w:szCs w:val="20"/>
              </w:rPr>
            </w:pPr>
            <w:r w:rsidRPr="00973AD3">
              <w:rPr>
                <w:rFonts w:ascii="Arial" w:hAnsi="Arial" w:cs="Arial"/>
                <w:sz w:val="20"/>
                <w:szCs w:val="20"/>
              </w:rPr>
              <w:t>FH</w:t>
            </w:r>
            <w:r w:rsidRPr="00D17476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973AD3">
              <w:rPr>
                <w:rFonts w:ascii="Arial" w:hAnsi="Arial" w:cs="Arial"/>
                <w:sz w:val="20"/>
                <w:szCs w:val="20"/>
              </w:rPr>
              <w:t xml:space="preserve"> Episodes of Care Benchmarks</w:t>
            </w:r>
            <w:r w:rsidRPr="00973AD3" w:rsidDel="00B71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09E95" w14:textId="244BB818" w:rsidR="00602526" w:rsidRPr="0019045B" w:rsidRDefault="00602526" w:rsidP="0090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90164AC" w14:textId="0AC35569" w:rsidR="00D22225" w:rsidRDefault="002C71B8" w:rsidP="0013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response to this need, </w:t>
            </w:r>
            <w:r w:rsidR="000A12EA">
              <w:rPr>
                <w:rFonts w:ascii="Arial" w:hAnsi="Arial" w:cs="Arial"/>
                <w:sz w:val="20"/>
                <w:szCs w:val="20"/>
              </w:rPr>
              <w:t>FAIR Health has created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C2035">
              <w:rPr>
                <w:rFonts w:ascii="Arial" w:hAnsi="Arial" w:cs="Arial"/>
                <w:sz w:val="20"/>
                <w:szCs w:val="20"/>
              </w:rPr>
              <w:t>solution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 xml:space="preserve"> that can </w:t>
            </w:r>
            <w:r w:rsidR="00EC0A65">
              <w:rPr>
                <w:rFonts w:ascii="Arial" w:hAnsi="Arial" w:cs="Arial"/>
                <w:sz w:val="20"/>
                <w:szCs w:val="20"/>
              </w:rPr>
              <w:t xml:space="preserve">give you a comprehensive view of actual healthcare costs for </w:t>
            </w:r>
            <w:r w:rsidR="001933B0">
              <w:rPr>
                <w:rFonts w:ascii="Arial" w:hAnsi="Arial" w:cs="Arial"/>
                <w:sz w:val="20"/>
                <w:szCs w:val="20"/>
              </w:rPr>
              <w:t xml:space="preserve">the most commonly occurring </w:t>
            </w:r>
            <w:r w:rsidR="00EC0A65">
              <w:rPr>
                <w:rFonts w:ascii="Arial" w:hAnsi="Arial" w:cs="Arial"/>
                <w:sz w:val="20"/>
                <w:szCs w:val="20"/>
              </w:rPr>
              <w:t xml:space="preserve">episodes of care in </w:t>
            </w:r>
            <w:r w:rsidR="001933B0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EC0A65">
              <w:rPr>
                <w:rFonts w:ascii="Arial" w:hAnsi="Arial" w:cs="Arial"/>
                <w:sz w:val="20"/>
                <w:szCs w:val="20"/>
              </w:rPr>
              <w:t xml:space="preserve">geographic area. </w:t>
            </w:r>
          </w:p>
          <w:p w14:paraId="38A4A7A3" w14:textId="77777777" w:rsidR="00D22225" w:rsidRDefault="00D22225" w:rsidP="00134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BDCF5" w14:textId="50CE88B6" w:rsidR="004A060F" w:rsidRPr="0019045B" w:rsidRDefault="000A12EA" w:rsidP="00E9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580">
              <w:rPr>
                <w:rFonts w:ascii="Arial" w:hAnsi="Arial" w:cs="Arial"/>
                <w:sz w:val="20"/>
                <w:szCs w:val="20"/>
              </w:rPr>
              <w:t>FH</w:t>
            </w:r>
            <w:r w:rsidR="00DC3C39" w:rsidRPr="00DC3C39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 xml:space="preserve"> Episodes of Care Benchmark</w:t>
            </w:r>
            <w:r w:rsidR="0052558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delivers </w:t>
            </w:r>
            <w:r w:rsidR="009D134E">
              <w:rPr>
                <w:rFonts w:ascii="Arial" w:hAnsi="Arial" w:cs="Arial"/>
                <w:sz w:val="20"/>
                <w:szCs w:val="20"/>
              </w:rPr>
              <w:t>essential insights into value-based reimbursement, budgeting, network building and more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0010" w:rsidRPr="0019045B" w14:paraId="1AFBF00E" w14:textId="77777777" w:rsidTr="002A5FFC">
        <w:tc>
          <w:tcPr>
            <w:tcW w:w="806" w:type="dxa"/>
          </w:tcPr>
          <w:p w14:paraId="263CE447" w14:textId="26CBC230" w:rsidR="004A060F" w:rsidRPr="0019045B" w:rsidRDefault="007E1021">
            <w:pPr>
              <w:rPr>
                <w:rFonts w:ascii="Arial" w:hAnsi="Arial" w:cs="Arial"/>
                <w:sz w:val="20"/>
                <w:szCs w:val="20"/>
              </w:rPr>
            </w:pPr>
            <w:r w:rsidRPr="001904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9" w:type="dxa"/>
          </w:tcPr>
          <w:p w14:paraId="090E3011" w14:textId="77777777" w:rsidR="004A060F" w:rsidRPr="0019045B" w:rsidRDefault="00BE1583" w:rsidP="0095453B">
            <w:pPr>
              <w:rPr>
                <w:rFonts w:ascii="Arial" w:hAnsi="Arial" w:cs="Arial"/>
                <w:sz w:val="20"/>
                <w:szCs w:val="20"/>
              </w:rPr>
            </w:pPr>
            <w:r w:rsidRPr="0019045B">
              <w:rPr>
                <w:rFonts w:ascii="Arial" w:hAnsi="Arial" w:cs="Arial"/>
                <w:sz w:val="20"/>
                <w:szCs w:val="20"/>
              </w:rPr>
              <w:t xml:space="preserve">A screenshot of the </w:t>
            </w:r>
            <w:r w:rsidR="007E1021" w:rsidRPr="0019045B">
              <w:rPr>
                <w:rFonts w:ascii="Arial" w:hAnsi="Arial" w:cs="Arial"/>
                <w:sz w:val="20"/>
                <w:szCs w:val="20"/>
              </w:rPr>
              <w:t xml:space="preserve">interface of the </w:t>
            </w:r>
            <w:r w:rsidRPr="0019045B">
              <w:rPr>
                <w:rFonts w:ascii="Arial" w:hAnsi="Arial" w:cs="Arial"/>
                <w:sz w:val="20"/>
                <w:szCs w:val="20"/>
              </w:rPr>
              <w:t>Episode Service Estimator</w:t>
            </w:r>
            <w:r w:rsidR="007E1021" w:rsidRPr="0019045B">
              <w:rPr>
                <w:rFonts w:ascii="Arial" w:hAnsi="Arial" w:cs="Arial"/>
                <w:sz w:val="20"/>
                <w:szCs w:val="20"/>
              </w:rPr>
              <w:t xml:space="preserve"> (beginning of live video footage?)</w:t>
            </w:r>
            <w:r w:rsidR="0095453B">
              <w:rPr>
                <w:rFonts w:ascii="Arial" w:hAnsi="Arial" w:cs="Arial"/>
                <w:sz w:val="20"/>
                <w:szCs w:val="20"/>
              </w:rPr>
              <w:t>; or show the application being opened</w:t>
            </w:r>
            <w:r w:rsidR="00956428">
              <w:rPr>
                <w:rFonts w:ascii="Arial" w:hAnsi="Arial" w:cs="Arial"/>
                <w:sz w:val="20"/>
                <w:szCs w:val="20"/>
              </w:rPr>
              <w:t xml:space="preserve"> and readied for use</w:t>
            </w:r>
            <w:r w:rsidR="009545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0056BF77" w14:textId="02B04636" w:rsidR="004A060F" w:rsidRPr="0019045B" w:rsidRDefault="00525580" w:rsidP="00193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</w:t>
            </w:r>
            <w:r w:rsidR="0013412D" w:rsidRPr="0019045B">
              <w:rPr>
                <w:rFonts w:ascii="Arial" w:hAnsi="Arial" w:cs="Arial"/>
                <w:sz w:val="20"/>
                <w:szCs w:val="20"/>
              </w:rPr>
              <w:t xml:space="preserve"> Episodes of </w:t>
            </w:r>
            <w:r w:rsidR="00D95895">
              <w:rPr>
                <w:rFonts w:ascii="Arial" w:hAnsi="Arial" w:cs="Arial"/>
                <w:sz w:val="20"/>
                <w:szCs w:val="20"/>
              </w:rPr>
              <w:t>Care Benchmark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95895">
              <w:rPr>
                <w:rFonts w:ascii="Arial" w:hAnsi="Arial" w:cs="Arial"/>
                <w:sz w:val="20"/>
                <w:szCs w:val="20"/>
              </w:rPr>
              <w:t xml:space="preserve"> is easy to use. </w:t>
            </w:r>
            <w:r w:rsidR="006733F3">
              <w:rPr>
                <w:rFonts w:ascii="Arial" w:hAnsi="Arial" w:cs="Arial"/>
                <w:sz w:val="20"/>
                <w:szCs w:val="20"/>
              </w:rPr>
              <w:t>You</w:t>
            </w:r>
            <w:r w:rsidR="00883744">
              <w:rPr>
                <w:rFonts w:ascii="Arial" w:hAnsi="Arial" w:cs="Arial"/>
                <w:sz w:val="20"/>
                <w:szCs w:val="20"/>
              </w:rPr>
              <w:t xml:space="preserve"> don’t need </w:t>
            </w:r>
            <w:r w:rsidR="006733F3">
              <w:rPr>
                <w:rFonts w:ascii="Arial" w:hAnsi="Arial" w:cs="Arial"/>
                <w:sz w:val="20"/>
                <w:szCs w:val="20"/>
              </w:rPr>
              <w:t>an</w:t>
            </w:r>
            <w:r w:rsidR="00B46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C60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="006733F3">
              <w:rPr>
                <w:rFonts w:ascii="Arial" w:hAnsi="Arial" w:cs="Arial"/>
                <w:sz w:val="20"/>
                <w:szCs w:val="20"/>
              </w:rPr>
              <w:t>connection</w:t>
            </w:r>
            <w:r w:rsidR="003F414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46764">
              <w:rPr>
                <w:rFonts w:ascii="Arial" w:hAnsi="Arial" w:cs="Arial"/>
                <w:sz w:val="20"/>
                <w:szCs w:val="20"/>
              </w:rPr>
              <w:t>i</w:t>
            </w:r>
            <w:r w:rsidR="00883744">
              <w:rPr>
                <w:rFonts w:ascii="Arial" w:hAnsi="Arial" w:cs="Arial"/>
                <w:sz w:val="20"/>
                <w:szCs w:val="20"/>
              </w:rPr>
              <w:t>t</w:t>
            </w:r>
            <w:r w:rsidR="006733F3">
              <w:rPr>
                <w:rFonts w:ascii="Arial" w:hAnsi="Arial" w:cs="Arial"/>
                <w:sz w:val="20"/>
                <w:szCs w:val="20"/>
              </w:rPr>
              <w:t>’s a completely self-</w:t>
            </w:r>
            <w:r w:rsidR="001933B0">
              <w:rPr>
                <w:rFonts w:ascii="Arial" w:hAnsi="Arial" w:cs="Arial"/>
                <w:sz w:val="20"/>
                <w:szCs w:val="20"/>
              </w:rPr>
              <w:t xml:space="preserve">contained </w:t>
            </w:r>
            <w:r w:rsidR="006733F3">
              <w:rPr>
                <w:rFonts w:ascii="Arial" w:hAnsi="Arial" w:cs="Arial"/>
                <w:sz w:val="20"/>
                <w:szCs w:val="20"/>
              </w:rPr>
              <w:t>program</w:t>
            </w:r>
            <w:r w:rsidR="008837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50010" w:rsidRPr="0019045B" w14:paraId="0235C6E1" w14:textId="77777777" w:rsidTr="002A5FFC">
        <w:tc>
          <w:tcPr>
            <w:tcW w:w="806" w:type="dxa"/>
          </w:tcPr>
          <w:p w14:paraId="4E3508ED" w14:textId="77777777" w:rsidR="004A060F" w:rsidRPr="0019045B" w:rsidRDefault="007E1021">
            <w:pPr>
              <w:rPr>
                <w:rFonts w:ascii="Arial" w:hAnsi="Arial" w:cs="Arial"/>
                <w:sz w:val="20"/>
                <w:szCs w:val="20"/>
              </w:rPr>
            </w:pPr>
            <w:r w:rsidRPr="001904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9" w:type="dxa"/>
          </w:tcPr>
          <w:p w14:paraId="205E80FF" w14:textId="3B185F89" w:rsidR="00CD6101" w:rsidRDefault="00CD610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Show the program in use, live.  The action on the screen will track the indicated steps in the narration.</w:t>
            </w:r>
          </w:p>
          <w:p w14:paraId="63A44B08" w14:textId="64877174" w:rsidR="009D436B" w:rsidRDefault="009D4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D03DD" w14:textId="1E14B97A" w:rsidR="009D436B" w:rsidRDefault="009D436B" w:rsidP="009D4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C3F09" w14:textId="77777777" w:rsidR="004A060F" w:rsidRPr="009D436B" w:rsidRDefault="004A060F" w:rsidP="009D4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82C644B" w14:textId="63410FD4" w:rsidR="00D22225" w:rsidRDefault="006733F3" w:rsidP="0067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can choose from </w:t>
            </w:r>
            <w:r w:rsidRPr="004D421B">
              <w:rPr>
                <w:rFonts w:ascii="Arial" w:hAnsi="Arial" w:cs="Arial"/>
                <w:sz w:val="20"/>
                <w:szCs w:val="20"/>
              </w:rPr>
              <w:t xml:space="preserve">more than 40 </w:t>
            </w:r>
            <w:r w:rsidR="001933B0">
              <w:rPr>
                <w:rFonts w:ascii="Arial" w:hAnsi="Arial" w:cs="Arial"/>
                <w:sz w:val="20"/>
                <w:szCs w:val="20"/>
              </w:rPr>
              <w:t xml:space="preserve">of the most commonly occurring </w:t>
            </w:r>
            <w:r w:rsidRPr="004D421B">
              <w:rPr>
                <w:rFonts w:ascii="Arial" w:hAnsi="Arial" w:cs="Arial"/>
                <w:sz w:val="20"/>
                <w:szCs w:val="20"/>
              </w:rPr>
              <w:t>episodes</w:t>
            </w:r>
            <w:r>
              <w:rPr>
                <w:rFonts w:ascii="Arial" w:hAnsi="Arial" w:cs="Arial"/>
                <w:sz w:val="20"/>
                <w:szCs w:val="20"/>
              </w:rPr>
              <w:t xml:space="preserve"> of care</w:t>
            </w:r>
            <w:r w:rsidR="00D22225">
              <w:rPr>
                <w:rFonts w:ascii="Arial" w:hAnsi="Arial" w:cs="Arial"/>
                <w:sz w:val="20"/>
                <w:szCs w:val="20"/>
              </w:rPr>
              <w:t>—</w:t>
            </w:r>
          </w:p>
          <w:p w14:paraId="74826BCA" w14:textId="77777777" w:rsidR="00D22225" w:rsidRDefault="00D22225" w:rsidP="0067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B0B8E" w14:textId="732CFD3C" w:rsidR="00DD7F22" w:rsidRDefault="00D22225" w:rsidP="0067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  <w:r w:rsidR="00B73C47">
              <w:rPr>
                <w:rFonts w:ascii="Arial" w:hAnsi="Arial" w:cs="Arial"/>
                <w:sz w:val="20"/>
                <w:szCs w:val="20"/>
              </w:rPr>
              <w:t>and then add the code</w:t>
            </w:r>
            <w:r w:rsidR="00193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2D2">
              <w:rPr>
                <w:rFonts w:ascii="Arial" w:hAnsi="Arial" w:cs="Arial"/>
                <w:sz w:val="20"/>
                <w:szCs w:val="20"/>
              </w:rPr>
              <w:t>that</w:t>
            </w:r>
            <w:r w:rsidR="001933B0">
              <w:rPr>
                <w:rFonts w:ascii="Arial" w:hAnsi="Arial" w:cs="Arial"/>
                <w:sz w:val="20"/>
                <w:szCs w:val="20"/>
              </w:rPr>
              <w:t xml:space="preserve"> initiates the episode</w:t>
            </w:r>
            <w:r w:rsidR="00F5134A">
              <w:rPr>
                <w:rFonts w:ascii="Arial" w:hAnsi="Arial" w:cs="Arial"/>
                <w:sz w:val="20"/>
                <w:szCs w:val="20"/>
              </w:rPr>
              <w:t>:</w:t>
            </w:r>
            <w:r w:rsidR="00193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34A">
              <w:rPr>
                <w:rFonts w:ascii="Arial" w:hAnsi="Arial" w:cs="Arial"/>
                <w:sz w:val="20"/>
                <w:szCs w:val="20"/>
              </w:rPr>
              <w:t>for example, a</w:t>
            </w:r>
            <w:r w:rsidR="001933B0">
              <w:rPr>
                <w:rFonts w:ascii="Arial" w:hAnsi="Arial" w:cs="Arial"/>
                <w:sz w:val="20"/>
                <w:szCs w:val="20"/>
              </w:rPr>
              <w:t xml:space="preserve"> type of knee surgery such as ACL, MCL or meniscus repair.</w:t>
            </w:r>
          </w:p>
          <w:p w14:paraId="332485DD" w14:textId="77777777" w:rsidR="00DD7F22" w:rsidRDefault="00DD7F22" w:rsidP="0067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93CBD" w14:textId="1FFBCA74" w:rsidR="00A24699" w:rsidRDefault="001933B0" w:rsidP="00A24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24699">
              <w:rPr>
                <w:rFonts w:ascii="Arial" w:hAnsi="Arial" w:cs="Arial"/>
                <w:sz w:val="20"/>
                <w:szCs w:val="20"/>
              </w:rPr>
              <w:t xml:space="preserve">make your results </w:t>
            </w:r>
            <w:r w:rsidR="00A24699" w:rsidRPr="000A243A">
              <w:rPr>
                <w:rFonts w:ascii="Arial" w:hAnsi="Arial" w:cs="Arial"/>
                <w:sz w:val="20"/>
                <w:szCs w:val="20"/>
              </w:rPr>
              <w:t>geographic</w:t>
            </w:r>
            <w:r w:rsidR="00A24699">
              <w:rPr>
                <w:rFonts w:ascii="Arial" w:hAnsi="Arial" w:cs="Arial"/>
                <w:sz w:val="20"/>
                <w:szCs w:val="20"/>
              </w:rPr>
              <w:t>ally specific, you can choose from 493 geozips</w:t>
            </w:r>
            <w:r w:rsidR="00F5134A">
              <w:rPr>
                <w:rFonts w:ascii="Arial" w:hAnsi="Arial" w:cs="Arial"/>
                <w:sz w:val="20"/>
                <w:szCs w:val="20"/>
              </w:rPr>
              <w:t>,</w:t>
            </w:r>
            <w:r w:rsidR="00A246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tend to track with the first three digits of a zip code, </w:t>
            </w:r>
            <w:r w:rsidR="00A24699">
              <w:rPr>
                <w:rFonts w:ascii="Arial" w:hAnsi="Arial" w:cs="Arial"/>
                <w:sz w:val="20"/>
                <w:szCs w:val="20"/>
              </w:rPr>
              <w:t>to address</w:t>
            </w:r>
            <w:r w:rsidR="00A24699" w:rsidRPr="000A243A">
              <w:rPr>
                <w:rFonts w:ascii="Arial" w:hAnsi="Arial" w:cs="Arial"/>
                <w:sz w:val="20"/>
                <w:szCs w:val="20"/>
              </w:rPr>
              <w:t xml:space="preserve"> your loca</w:t>
            </w:r>
            <w:r w:rsidR="00A24699">
              <w:rPr>
                <w:rFonts w:ascii="Arial" w:hAnsi="Arial" w:cs="Arial"/>
                <w:sz w:val="20"/>
                <w:szCs w:val="20"/>
              </w:rPr>
              <w:t xml:space="preserve">l, regional and national needs. </w:t>
            </w:r>
          </w:p>
          <w:p w14:paraId="4B0C1499" w14:textId="77777777" w:rsidR="00A24699" w:rsidRDefault="00A24699" w:rsidP="000A24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A7418" w14:textId="2024FE85" w:rsidR="00DD7F22" w:rsidRDefault="001933B0" w:rsidP="000A2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order to 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 xml:space="preserve">refine costs based on </w:t>
            </w:r>
            <w:r w:rsidR="00D22225">
              <w:rPr>
                <w:rFonts w:ascii="Arial" w:hAnsi="Arial" w:cs="Arial"/>
                <w:sz w:val="20"/>
                <w:szCs w:val="20"/>
              </w:rPr>
              <w:t>a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 xml:space="preserve"> patient’s profile</w:t>
            </w:r>
            <w:r w:rsidR="000A243A">
              <w:rPr>
                <w:rFonts w:ascii="Arial" w:hAnsi="Arial" w:cs="Arial"/>
                <w:sz w:val="20"/>
                <w:szCs w:val="20"/>
              </w:rPr>
              <w:t>, y</w:t>
            </w:r>
            <w:r w:rsidR="002B12D1">
              <w:rPr>
                <w:rFonts w:ascii="Arial" w:hAnsi="Arial" w:cs="Arial"/>
                <w:sz w:val="20"/>
                <w:szCs w:val="20"/>
              </w:rPr>
              <w:t>ou can apply</w:t>
            </w:r>
            <w:r w:rsidR="00DD7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 xml:space="preserve">up to five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most 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>common</w:t>
            </w:r>
            <w:r>
              <w:rPr>
                <w:rFonts w:ascii="Arial" w:hAnsi="Arial" w:cs="Arial"/>
                <w:sz w:val="20"/>
                <w:szCs w:val="20"/>
              </w:rPr>
              <w:t>ly occurring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 xml:space="preserve"> comorbidities and risk factors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pertain to this particular 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>episode</w:t>
            </w:r>
            <w:r w:rsidR="000A243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DA4BE0" w14:textId="77777777" w:rsidR="00DD7F22" w:rsidRDefault="00DD7F22" w:rsidP="000A24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456C1" w14:textId="2021ED3A" w:rsidR="000A243A" w:rsidRDefault="00E97C60" w:rsidP="000A2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And</w:t>
            </w:r>
            <w:r w:rsidR="000A243A">
              <w:rPr>
                <w:rFonts w:ascii="Arial" w:hAnsi="Arial" w:cs="Arial"/>
                <w:sz w:val="20"/>
                <w:szCs w:val="20"/>
              </w:rPr>
              <w:t>, you can view a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>llowed amount and billed charge benchmarks a</w:t>
            </w:r>
            <w:r w:rsidR="000A243A">
              <w:rPr>
                <w:rFonts w:ascii="Arial" w:hAnsi="Arial" w:cs="Arial"/>
                <w:sz w:val="20"/>
                <w:szCs w:val="20"/>
              </w:rPr>
              <w:t>t the 50th and 80th percentiles.</w:t>
            </w:r>
          </w:p>
          <w:p w14:paraId="6440312D" w14:textId="77777777" w:rsidR="007C2BFA" w:rsidRDefault="007C2BFA" w:rsidP="000A24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B83D6" w14:textId="07ED5F38" w:rsidR="007C2BFA" w:rsidRDefault="007C2BFA" w:rsidP="000A2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also can view per-unit costs.</w:t>
            </w:r>
          </w:p>
          <w:p w14:paraId="31070671" w14:textId="77777777" w:rsidR="000A243A" w:rsidRDefault="000A243A" w:rsidP="000A24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09031" w14:textId="77777777" w:rsidR="000219B4" w:rsidRDefault="000219B4" w:rsidP="00021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FH</w:t>
            </w:r>
            <w:r w:rsidRPr="0019045B">
              <w:rPr>
                <w:rFonts w:ascii="Arial" w:hAnsi="Arial" w:cs="Arial"/>
                <w:sz w:val="20"/>
                <w:szCs w:val="20"/>
              </w:rPr>
              <w:t xml:space="preserve"> Episodes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Care Benchmarks, you get pricing for the overall episode, with </w:t>
            </w:r>
            <w:r w:rsidRPr="004D421B">
              <w:rPr>
                <w:rFonts w:ascii="Arial" w:hAnsi="Arial" w:cs="Arial"/>
                <w:sz w:val="20"/>
                <w:szCs w:val="20"/>
              </w:rPr>
              <w:t>detail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4D421B">
              <w:rPr>
                <w:rFonts w:ascii="Arial" w:hAnsi="Arial" w:cs="Arial"/>
                <w:sz w:val="20"/>
                <w:szCs w:val="20"/>
              </w:rPr>
              <w:t xml:space="preserve"> costs and quantities fo</w:t>
            </w:r>
            <w:r>
              <w:rPr>
                <w:rFonts w:ascii="Arial" w:hAnsi="Arial" w:cs="Arial"/>
                <w:sz w:val="20"/>
                <w:szCs w:val="20"/>
              </w:rPr>
              <w:t xml:space="preserve">r each individual procedure. </w:t>
            </w:r>
          </w:p>
          <w:p w14:paraId="587866D0" w14:textId="77777777" w:rsidR="000219B4" w:rsidRDefault="000219B4" w:rsidP="00A007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02BDE" w14:textId="65878E92" w:rsidR="00A00734" w:rsidRPr="004D421B" w:rsidRDefault="00D22225" w:rsidP="00A00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drilling down, y</w:t>
            </w:r>
            <w:r w:rsidR="00A00734">
              <w:rPr>
                <w:rFonts w:ascii="Arial" w:hAnsi="Arial" w:cs="Arial"/>
                <w:sz w:val="20"/>
                <w:szCs w:val="20"/>
              </w:rPr>
              <w:t>ou can explore the p</w:t>
            </w:r>
            <w:r w:rsidR="00A00734" w:rsidRPr="004D421B">
              <w:rPr>
                <w:rFonts w:ascii="Arial" w:hAnsi="Arial" w:cs="Arial"/>
                <w:sz w:val="20"/>
                <w:szCs w:val="20"/>
              </w:rPr>
              <w:t xml:space="preserve">rocedures and associated frequencies that </w:t>
            </w:r>
            <w:r w:rsidR="00DD152C">
              <w:rPr>
                <w:rFonts w:ascii="Arial" w:hAnsi="Arial" w:cs="Arial"/>
                <w:sz w:val="20"/>
                <w:szCs w:val="20"/>
              </w:rPr>
              <w:t>constitute</w:t>
            </w:r>
            <w:r w:rsidR="00A00734" w:rsidRPr="004D421B">
              <w:rPr>
                <w:rFonts w:ascii="Arial" w:hAnsi="Arial" w:cs="Arial"/>
                <w:sz w:val="20"/>
                <w:szCs w:val="20"/>
              </w:rPr>
              <w:t xml:space="preserve"> the patient’s </w:t>
            </w:r>
            <w:r w:rsidR="00A00734">
              <w:rPr>
                <w:rFonts w:ascii="Arial" w:hAnsi="Arial" w:cs="Arial"/>
                <w:sz w:val="20"/>
                <w:szCs w:val="20"/>
              </w:rPr>
              <w:t>treatment path from beginning to end.</w:t>
            </w:r>
          </w:p>
          <w:p w14:paraId="67E0C671" w14:textId="77777777" w:rsidR="00D22225" w:rsidRDefault="00D22225" w:rsidP="000A24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F5111" w14:textId="4F231EAD" w:rsidR="004A060F" w:rsidRPr="0019045B" w:rsidRDefault="00221B10" w:rsidP="00E3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advantage</w:t>
            </w:r>
            <w:r w:rsidR="00EA358B">
              <w:rPr>
                <w:rFonts w:ascii="Arial" w:hAnsi="Arial" w:cs="Arial"/>
                <w:sz w:val="20"/>
                <w:szCs w:val="20"/>
              </w:rPr>
              <w:t>: Y</w:t>
            </w:r>
            <w:r w:rsidR="000A243A">
              <w:rPr>
                <w:rFonts w:ascii="Arial" w:hAnsi="Arial" w:cs="Arial"/>
                <w:sz w:val="20"/>
                <w:szCs w:val="20"/>
              </w:rPr>
              <w:t xml:space="preserve">ou can 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 xml:space="preserve">customize each episode </w:t>
            </w:r>
            <w:r w:rsidR="00E97C60">
              <w:rPr>
                <w:rFonts w:ascii="Arial" w:hAnsi="Arial" w:cs="Arial"/>
                <w:sz w:val="20"/>
                <w:szCs w:val="20"/>
              </w:rPr>
              <w:t xml:space="preserve">easily 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 xml:space="preserve">based on </w:t>
            </w:r>
            <w:r w:rsidR="000A243A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>business n</w:t>
            </w:r>
            <w:r w:rsidR="000A243A">
              <w:rPr>
                <w:rFonts w:ascii="Arial" w:hAnsi="Arial" w:cs="Arial"/>
                <w:sz w:val="20"/>
                <w:szCs w:val="20"/>
              </w:rPr>
              <w:t xml:space="preserve">eeds, treatment protocols </w:t>
            </w:r>
            <w:r w:rsidR="00E33C9C">
              <w:rPr>
                <w:rFonts w:ascii="Arial" w:hAnsi="Arial" w:cs="Arial"/>
                <w:sz w:val="20"/>
                <w:szCs w:val="20"/>
              </w:rPr>
              <w:t>or</w:t>
            </w:r>
            <w:r w:rsidR="00E33C9C" w:rsidRPr="004D4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43A" w:rsidRPr="004D421B">
              <w:rPr>
                <w:rFonts w:ascii="Arial" w:hAnsi="Arial" w:cs="Arial"/>
                <w:sz w:val="20"/>
                <w:szCs w:val="20"/>
              </w:rPr>
              <w:t>plan design.</w:t>
            </w:r>
          </w:p>
        </w:tc>
      </w:tr>
      <w:tr w:rsidR="00550010" w:rsidRPr="0019045B" w14:paraId="4E99E54C" w14:textId="77777777" w:rsidTr="002A5FFC">
        <w:tc>
          <w:tcPr>
            <w:tcW w:w="806" w:type="dxa"/>
          </w:tcPr>
          <w:p w14:paraId="641B6713" w14:textId="3A107128" w:rsidR="004A060F" w:rsidRPr="0019045B" w:rsidRDefault="00B71B7B">
            <w:pPr>
              <w:rPr>
                <w:rFonts w:ascii="Arial" w:hAnsi="Arial" w:cs="Arial"/>
                <w:sz w:val="20"/>
                <w:szCs w:val="20"/>
              </w:rPr>
            </w:pPr>
            <w:r w:rsidRPr="0019045B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139" w:type="dxa"/>
          </w:tcPr>
          <w:p w14:paraId="0C6E7F4C" w14:textId="77777777" w:rsidR="001B6738" w:rsidRDefault="001B673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28EC0E5" w14:textId="77777777" w:rsidR="004A060F" w:rsidRDefault="001B6738">
            <w:pPr>
              <w:rPr>
                <w:rFonts w:ascii="Arial" w:hAnsi="Arial" w:cs="Arial"/>
                <w:sz w:val="20"/>
                <w:szCs w:val="20"/>
              </w:rPr>
            </w:pPr>
            <w:r w:rsidRPr="001B673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087E49" wp14:editId="00969014">
                  <wp:extent cx="2404872" cy="1719072"/>
                  <wp:effectExtent l="0" t="0" r="0" b="0"/>
                  <wp:docPr id="6" name="Picture 6" descr="C:\Users\wwheeler\Documents\Benchmarks Video\stock-photo-financial-adviser-working-with-client-calculating-and-analyzing-data-at-the-table-in-cafe-593873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heeler\Documents\Benchmarks Video\stock-photo-financial-adviser-working-with-client-calculating-and-analyzing-data-at-the-table-in-cafe-593873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872" cy="171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E2CBC" w14:textId="7AA2BE15" w:rsidR="001B6738" w:rsidRPr="0019045B" w:rsidRDefault="001B6738">
            <w:pPr>
              <w:rPr>
                <w:rFonts w:ascii="Arial" w:hAnsi="Arial" w:cs="Arial"/>
                <w:sz w:val="20"/>
                <w:szCs w:val="20"/>
              </w:rPr>
            </w:pPr>
            <w:r w:rsidRPr="001B6738">
              <w:rPr>
                <w:rFonts w:ascii="Arial" w:hAnsi="Arial" w:cs="Arial"/>
                <w:sz w:val="20"/>
                <w:szCs w:val="20"/>
              </w:rPr>
              <w:t>https://www.shutterstock.com/image-photo/financial-adviser-working-client-calculating-analyzing-593873471?src=LKCuKdTm6xt2q88N1Z8Ztg-1-3</w:t>
            </w:r>
          </w:p>
        </w:tc>
        <w:tc>
          <w:tcPr>
            <w:tcW w:w="4405" w:type="dxa"/>
          </w:tcPr>
          <w:p w14:paraId="192651F3" w14:textId="1D07D093" w:rsidR="00613F70" w:rsidRDefault="00F53C04" w:rsidP="00F50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</w:t>
            </w:r>
            <w:r w:rsidRPr="0019045B">
              <w:rPr>
                <w:rFonts w:ascii="Arial" w:hAnsi="Arial" w:cs="Arial"/>
                <w:sz w:val="20"/>
                <w:szCs w:val="20"/>
              </w:rPr>
              <w:t xml:space="preserve"> Episodes of </w:t>
            </w:r>
            <w:r>
              <w:rPr>
                <w:rFonts w:ascii="Arial" w:hAnsi="Arial" w:cs="Arial"/>
                <w:sz w:val="20"/>
                <w:szCs w:val="20"/>
              </w:rPr>
              <w:t>Care Benchmarks</w:t>
            </w:r>
            <w:r w:rsidR="000D1199">
              <w:rPr>
                <w:rFonts w:ascii="Arial" w:hAnsi="Arial" w:cs="Arial"/>
                <w:sz w:val="20"/>
                <w:szCs w:val="20"/>
              </w:rPr>
              <w:t xml:space="preserve"> can serve as an invaluable financial planning tool.</w:t>
            </w:r>
            <w:r w:rsidR="007C3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F70">
              <w:rPr>
                <w:rFonts w:ascii="Arial" w:hAnsi="Arial" w:cs="Arial"/>
                <w:sz w:val="20"/>
                <w:szCs w:val="20"/>
              </w:rPr>
              <w:t xml:space="preserve">No other </w:t>
            </w:r>
            <w:r w:rsidR="00B46913">
              <w:rPr>
                <w:rFonts w:ascii="Arial" w:hAnsi="Arial" w:cs="Arial"/>
                <w:sz w:val="20"/>
                <w:szCs w:val="20"/>
              </w:rPr>
              <w:t>program</w:t>
            </w:r>
            <w:r w:rsidR="00613F70">
              <w:rPr>
                <w:rFonts w:ascii="Arial" w:hAnsi="Arial" w:cs="Arial"/>
                <w:sz w:val="20"/>
                <w:szCs w:val="20"/>
              </w:rPr>
              <w:t xml:space="preserve"> like it is available in the marketplace.</w:t>
            </w:r>
          </w:p>
          <w:p w14:paraId="33A6981D" w14:textId="77777777" w:rsidR="00613F70" w:rsidRDefault="00613F70" w:rsidP="00F50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17817" w14:textId="77777777" w:rsidR="007C3233" w:rsidRDefault="007C3233" w:rsidP="00F50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67490" w14:textId="77777777" w:rsidR="007C3233" w:rsidRDefault="007C3233" w:rsidP="00F50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65F7C" w14:textId="3FD75AF9" w:rsidR="000D1199" w:rsidRPr="0019045B" w:rsidRDefault="000D1199" w:rsidP="001B6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13" w:rsidRPr="0019045B" w14:paraId="58A7D37E" w14:textId="77777777" w:rsidTr="002A5FFC">
        <w:tc>
          <w:tcPr>
            <w:tcW w:w="806" w:type="dxa"/>
          </w:tcPr>
          <w:p w14:paraId="00FE78DE" w14:textId="2D9F3796" w:rsidR="00B46913" w:rsidRPr="0019045B" w:rsidRDefault="00B46913" w:rsidP="00B46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9" w:type="dxa"/>
          </w:tcPr>
          <w:p w14:paraId="3D6F9179" w14:textId="262E84AC" w:rsidR="00B46913" w:rsidRPr="00CD6065" w:rsidRDefault="00180527" w:rsidP="003D67D4">
            <w:pPr>
              <w:rPr>
                <w:rFonts w:ascii="Arial" w:hAnsi="Arial" w:cs="Arial"/>
                <w:sz w:val="20"/>
                <w:szCs w:val="20"/>
              </w:rPr>
            </w:pPr>
            <w:r w:rsidRPr="0018052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A8D49A" wp14:editId="2B220810">
                  <wp:extent cx="2423160" cy="1709928"/>
                  <wp:effectExtent l="0" t="0" r="0" b="5080"/>
                  <wp:docPr id="23" name="Picture 23" descr="C:\Users\wwheeler\Documents\Benchmarks Video\stock-photo-joint-of-two-pieces-of-a-puzzle-519395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wheeler\Documents\Benchmarks Video\stock-photo-joint-of-two-pieces-of-a-puzzle-519395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70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065" w:rsidRPr="00CD6065">
              <w:rPr>
                <w:rFonts w:ascii="Arial" w:hAnsi="Arial" w:cs="Arial"/>
                <w:sz w:val="20"/>
                <w:szCs w:val="20"/>
              </w:rPr>
              <w:t>https://www.shutterstock.com/image-vector/financial-report-vector-icon-576794359?src=1EZGzaRJrpgJ8QNCUsde0A-1-12</w:t>
            </w:r>
          </w:p>
        </w:tc>
        <w:tc>
          <w:tcPr>
            <w:tcW w:w="4405" w:type="dxa"/>
          </w:tcPr>
          <w:p w14:paraId="1C761006" w14:textId="7CC88523" w:rsidR="001B6738" w:rsidRDefault="001B6738" w:rsidP="001B6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can help you a</w:t>
            </w:r>
            <w:r w:rsidRPr="00BC4CFD">
              <w:rPr>
                <w:rFonts w:ascii="Arial" w:hAnsi="Arial" w:cs="Arial"/>
                <w:sz w:val="20"/>
                <w:szCs w:val="20"/>
              </w:rPr>
              <w:t>ssess business expansion</w:t>
            </w:r>
            <w:r w:rsidR="00C75BF6">
              <w:rPr>
                <w:rFonts w:ascii="Arial" w:hAnsi="Arial" w:cs="Arial"/>
                <w:sz w:val="20"/>
                <w:szCs w:val="20"/>
              </w:rPr>
              <w:t>, affiliation</w:t>
            </w:r>
            <w:r w:rsidRPr="00BC4CFD">
              <w:rPr>
                <w:rFonts w:ascii="Arial" w:hAnsi="Arial" w:cs="Arial"/>
                <w:sz w:val="20"/>
                <w:szCs w:val="20"/>
              </w:rPr>
              <w:t xml:space="preserve"> and merger strategies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2CAAF7" w14:textId="2E36DE26" w:rsidR="00B46913" w:rsidRPr="0019045B" w:rsidRDefault="00B46913" w:rsidP="001B6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13" w:rsidRPr="0019045B" w14:paraId="73DE688A" w14:textId="77777777" w:rsidTr="002A5FFC">
        <w:tc>
          <w:tcPr>
            <w:tcW w:w="806" w:type="dxa"/>
          </w:tcPr>
          <w:p w14:paraId="39697C17" w14:textId="77777777" w:rsidR="00B46913" w:rsidRPr="0019045B" w:rsidRDefault="00B46913" w:rsidP="00B46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9" w:type="dxa"/>
          </w:tcPr>
          <w:p w14:paraId="45323AB2" w14:textId="77777777" w:rsidR="00B46913" w:rsidRDefault="00B46913" w:rsidP="00B469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2A7F1" w14:textId="3ADA2648" w:rsidR="00686FE4" w:rsidRDefault="00244911" w:rsidP="00B46913">
            <w:pPr>
              <w:rPr>
                <w:rFonts w:ascii="Arial" w:hAnsi="Arial" w:cs="Arial"/>
                <w:sz w:val="20"/>
                <w:szCs w:val="20"/>
              </w:rPr>
            </w:pPr>
            <w:r w:rsidRPr="0024491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3C06DFA7" wp14:editId="539C1B83">
                  <wp:extent cx="2386584" cy="1591056"/>
                  <wp:effectExtent l="0" t="0" r="0" b="9525"/>
                  <wp:docPr id="24" name="Picture 24" descr="C:\Users\wwheeler\Documents\Benchmarks Video\stock-photo-a-ceiling-mounted-hospital-directional-sign-highlighting-the-way-towards-the-intensive-care-unit-754668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wheeler\Documents\Benchmarks Video\stock-photo-a-ceiling-mounted-hospital-directional-sign-highlighting-the-way-towards-the-intensive-care-unit-754668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584" cy="159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18F5D" w14:textId="77777777" w:rsidR="00686FE4" w:rsidRDefault="00686FE4" w:rsidP="00B469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A46BD" w14:textId="1FDA6E9E" w:rsidR="00686FE4" w:rsidRPr="0019045B" w:rsidRDefault="00686FE4" w:rsidP="00B46913">
            <w:pPr>
              <w:rPr>
                <w:rFonts w:ascii="Arial" w:hAnsi="Arial" w:cs="Arial"/>
                <w:sz w:val="20"/>
                <w:szCs w:val="20"/>
              </w:rPr>
            </w:pPr>
            <w:r w:rsidRPr="00686FE4">
              <w:rPr>
                <w:rFonts w:ascii="Arial" w:hAnsi="Arial" w:cs="Arial"/>
                <w:sz w:val="20"/>
                <w:szCs w:val="20"/>
              </w:rPr>
              <w:t>https://www.shutterstock.com/image-illustration/ceiling-mounted-hospital-directional-sign-highlighting-754668226?src=OoMPhCLDl2mLAMzt0JhqRA-1-1</w:t>
            </w:r>
          </w:p>
        </w:tc>
        <w:tc>
          <w:tcPr>
            <w:tcW w:w="4405" w:type="dxa"/>
          </w:tcPr>
          <w:p w14:paraId="68CA671F" w14:textId="77777777" w:rsidR="001B6738" w:rsidRDefault="001B6738" w:rsidP="001B6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You can use it to d</w:t>
            </w:r>
            <w:r w:rsidRPr="00BC4CFD">
              <w:rPr>
                <w:rFonts w:ascii="Arial" w:hAnsi="Arial" w:cs="Arial"/>
                <w:sz w:val="20"/>
                <w:szCs w:val="20"/>
              </w:rPr>
              <w:t>etermine pricing based on patients’ conditions, risk profil</w:t>
            </w:r>
            <w:r>
              <w:rPr>
                <w:rFonts w:ascii="Arial" w:hAnsi="Arial" w:cs="Arial"/>
                <w:sz w:val="20"/>
                <w:szCs w:val="20"/>
              </w:rPr>
              <w:t>es and likely duration of care.</w:t>
            </w:r>
          </w:p>
          <w:p w14:paraId="0DC90556" w14:textId="1A649414" w:rsidR="00C74E3A" w:rsidRPr="0019045B" w:rsidRDefault="00C74E3A" w:rsidP="00C74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12" w:rsidRPr="0019045B" w14:paraId="35545859" w14:textId="77777777" w:rsidTr="002A5FFC">
        <w:tc>
          <w:tcPr>
            <w:tcW w:w="806" w:type="dxa"/>
          </w:tcPr>
          <w:p w14:paraId="5348E84D" w14:textId="4644EB63" w:rsidR="009B5D12" w:rsidRPr="0019045B" w:rsidRDefault="003E787F" w:rsidP="009B5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139" w:type="dxa"/>
          </w:tcPr>
          <w:p w14:paraId="2F04B2DB" w14:textId="69F22877" w:rsidR="009B5D12" w:rsidRPr="0019045B" w:rsidRDefault="003D67D4" w:rsidP="009B5D12">
            <w:pPr>
              <w:rPr>
                <w:rFonts w:ascii="Arial" w:hAnsi="Arial" w:cs="Arial"/>
                <w:sz w:val="20"/>
                <w:szCs w:val="20"/>
              </w:rPr>
            </w:pPr>
            <w:r w:rsidRPr="003D67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C58FD8" wp14:editId="2E0727B2">
                  <wp:extent cx="2468880" cy="813816"/>
                  <wp:effectExtent l="0" t="0" r="7620" b="5715"/>
                  <wp:docPr id="27" name="Picture 27" descr="C:\Users\wwheeler\Documents\Benchmarks Video\AAEAAQAAAAAAAAemAAAAJDU2Y2NkMzg1LWRkOTAtNGFhMS1iYTUxLTdmNmVmNzQ4OWQ1M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wheeler\Documents\Benchmarks Video\AAEAAQAAAAAAAAemAAAAJDU2Y2NkMzg1LWRkOTAtNGFhMS1iYTUxLTdmNmVmNzQ4OWQ1M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14:paraId="79F489B8" w14:textId="01C1ED3F" w:rsidR="009B5D12" w:rsidRPr="0019045B" w:rsidRDefault="009B5D12" w:rsidP="00A1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</w:t>
            </w:r>
            <w:r w:rsidRPr="0019045B">
              <w:rPr>
                <w:rFonts w:ascii="Arial" w:hAnsi="Arial" w:cs="Arial"/>
                <w:sz w:val="20"/>
                <w:szCs w:val="20"/>
              </w:rPr>
              <w:t xml:space="preserve"> Episodes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Care Benchmarks is powered by </w:t>
            </w:r>
            <w:r w:rsidR="00E97C60">
              <w:rPr>
                <w:rFonts w:ascii="Arial" w:hAnsi="Arial" w:cs="Arial"/>
                <w:sz w:val="20"/>
                <w:szCs w:val="20"/>
              </w:rPr>
              <w:t>the nation’s largest repository</w:t>
            </w:r>
            <w:r>
              <w:rPr>
                <w:rFonts w:ascii="Arial" w:hAnsi="Arial" w:cs="Arial"/>
                <w:sz w:val="20"/>
                <w:szCs w:val="20"/>
              </w:rPr>
              <w:t xml:space="preserve"> of private healthcare claims data, which </w:t>
            </w:r>
            <w:r w:rsidR="000A585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F6517">
              <w:rPr>
                <w:rFonts w:ascii="Arial" w:hAnsi="Arial" w:cs="Arial"/>
                <w:sz w:val="20"/>
                <w:szCs w:val="20"/>
              </w:rPr>
              <w:t xml:space="preserve">continually </w:t>
            </w:r>
            <w:r w:rsidR="000A5856">
              <w:rPr>
                <w:rFonts w:ascii="Arial" w:hAnsi="Arial" w:cs="Arial"/>
                <w:sz w:val="20"/>
                <w:szCs w:val="20"/>
              </w:rPr>
              <w:t>updated</w:t>
            </w:r>
            <w:r w:rsidR="009E3F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5D12" w:rsidRPr="0019045B" w14:paraId="72274558" w14:textId="77777777" w:rsidTr="002A5FFC">
        <w:tc>
          <w:tcPr>
            <w:tcW w:w="806" w:type="dxa"/>
          </w:tcPr>
          <w:p w14:paraId="7FCE1596" w14:textId="5D072235" w:rsidR="009B5D12" w:rsidRPr="0019045B" w:rsidRDefault="003E787F" w:rsidP="009B5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9" w:type="dxa"/>
          </w:tcPr>
          <w:p w14:paraId="04D9693C" w14:textId="77777777" w:rsidR="009B5D12" w:rsidRDefault="009B5D12" w:rsidP="009B5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[FAIR Health logo with contact info]</w:t>
            </w:r>
          </w:p>
          <w:p w14:paraId="23A6DC45" w14:textId="323F8F17" w:rsidR="000169D7" w:rsidRDefault="000169D7" w:rsidP="009B5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Onscreen:</w:t>
            </w:r>
          </w:p>
          <w:p w14:paraId="201F11BB" w14:textId="535D02C1" w:rsidR="000169D7" w:rsidRPr="0019045B" w:rsidRDefault="000169D7" w:rsidP="009B5D12">
            <w:pPr>
              <w:rPr>
                <w:rFonts w:ascii="Arial" w:hAnsi="Arial" w:cs="Arial"/>
                <w:sz w:val="20"/>
                <w:szCs w:val="20"/>
              </w:rPr>
            </w:pPr>
            <w:r w:rsidRPr="002410E0">
              <w:rPr>
                <w:rFonts w:ascii="Arial" w:hAnsi="Arial" w:cs="Arial"/>
                <w:sz w:val="20"/>
                <w:szCs w:val="20"/>
              </w:rPr>
              <w:t>FAIR Health is the only independent nonprofit certified and licensed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0E0">
              <w:rPr>
                <w:rFonts w:ascii="Arial" w:hAnsi="Arial" w:cs="Arial"/>
                <w:sz w:val="20"/>
                <w:szCs w:val="20"/>
              </w:rPr>
              <w:t>the Altarum Institute to operate its PROMETHEUS Payment</w:t>
            </w:r>
            <w:r w:rsidRPr="00E27ED3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2410E0">
              <w:rPr>
                <w:rFonts w:ascii="Arial" w:hAnsi="Arial" w:cs="Arial"/>
                <w:sz w:val="20"/>
                <w:szCs w:val="20"/>
              </w:rPr>
              <w:t xml:space="preserve"> model,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0E0">
              <w:rPr>
                <w:rFonts w:ascii="Arial" w:hAnsi="Arial" w:cs="Arial"/>
                <w:sz w:val="20"/>
                <w:szCs w:val="20"/>
              </w:rPr>
              <w:t>which is used to identify the services that make up each episode.</w:t>
            </w:r>
          </w:p>
        </w:tc>
        <w:tc>
          <w:tcPr>
            <w:tcW w:w="4405" w:type="dxa"/>
          </w:tcPr>
          <w:p w14:paraId="0185E0A2" w14:textId="77777777" w:rsidR="009B5D12" w:rsidRDefault="009B5D12" w:rsidP="009B5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data can help drive your decisions. View </w:t>
            </w:r>
            <w:r w:rsidRPr="00854ACB">
              <w:rPr>
                <w:rFonts w:ascii="Arial" w:hAnsi="Arial" w:cs="Arial"/>
                <w:sz w:val="20"/>
                <w:szCs w:val="20"/>
              </w:rPr>
              <w:t>a product demo</w:t>
            </w:r>
            <w:r>
              <w:rPr>
                <w:rFonts w:ascii="Arial" w:hAnsi="Arial" w:cs="Arial"/>
                <w:sz w:val="20"/>
                <w:szCs w:val="20"/>
              </w:rPr>
              <w:t xml:space="preserve"> for yourself and see what FH</w:t>
            </w:r>
            <w:r w:rsidRPr="0019045B">
              <w:rPr>
                <w:rFonts w:ascii="Arial" w:hAnsi="Arial" w:cs="Arial"/>
                <w:sz w:val="20"/>
                <w:szCs w:val="20"/>
              </w:rPr>
              <w:t xml:space="preserve"> Episodes of </w:t>
            </w:r>
            <w:r>
              <w:rPr>
                <w:rFonts w:ascii="Arial" w:hAnsi="Arial" w:cs="Arial"/>
                <w:sz w:val="20"/>
                <w:szCs w:val="20"/>
              </w:rPr>
              <w:t>Care Benchmarks can do for you.</w:t>
            </w:r>
          </w:p>
          <w:p w14:paraId="08074FFE" w14:textId="77777777" w:rsidR="009B5D12" w:rsidRDefault="009B5D12" w:rsidP="009B5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46C0A" w14:textId="77777777" w:rsidR="009B5D12" w:rsidRDefault="009B5D12" w:rsidP="009B5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learn more, please contact us at </w:t>
            </w:r>
          </w:p>
          <w:p w14:paraId="1608FEE5" w14:textId="2801736B" w:rsidR="009B5D12" w:rsidRPr="0019045B" w:rsidRDefault="009B5D12" w:rsidP="009B5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info@fairhealth.org or call 855-301-</w:t>
            </w:r>
            <w:r w:rsidRPr="00854ACB">
              <w:rPr>
                <w:rFonts w:ascii="Arial" w:hAnsi="Arial" w:cs="Arial"/>
                <w:sz w:val="20"/>
                <w:szCs w:val="20"/>
              </w:rPr>
              <w:t>3247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F5B2186" w14:textId="77777777" w:rsidR="0074773D" w:rsidRDefault="0074773D" w:rsidP="003114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4773D" w:rsidSect="00613442">
      <w:head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9D5FB" w14:textId="77777777" w:rsidR="00D54C00" w:rsidRDefault="00D54C00" w:rsidP="00613442">
      <w:pPr>
        <w:spacing w:after="0" w:line="240" w:lineRule="auto"/>
      </w:pPr>
      <w:r>
        <w:separator/>
      </w:r>
    </w:p>
  </w:endnote>
  <w:endnote w:type="continuationSeparator" w:id="0">
    <w:p w14:paraId="10926C08" w14:textId="77777777" w:rsidR="00D54C00" w:rsidRDefault="00D54C00" w:rsidP="0061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AB0B" w14:textId="77777777" w:rsidR="00D54C00" w:rsidRDefault="00D54C00" w:rsidP="00613442">
      <w:pPr>
        <w:spacing w:after="0" w:line="240" w:lineRule="auto"/>
      </w:pPr>
      <w:r>
        <w:separator/>
      </w:r>
    </w:p>
  </w:footnote>
  <w:footnote w:type="continuationSeparator" w:id="0">
    <w:p w14:paraId="27C12949" w14:textId="77777777" w:rsidR="00D54C00" w:rsidRDefault="00D54C00" w:rsidP="0061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8399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263503" w14:textId="77777777" w:rsidR="001E58F6" w:rsidRDefault="001E58F6" w:rsidP="003114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CC9499" w14:textId="77777777" w:rsidR="001E58F6" w:rsidRDefault="001E5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7659"/>
    <w:multiLevelType w:val="hybridMultilevel"/>
    <w:tmpl w:val="3260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F"/>
    <w:rsid w:val="00006D6E"/>
    <w:rsid w:val="000169D7"/>
    <w:rsid w:val="00020476"/>
    <w:rsid w:val="000219B4"/>
    <w:rsid w:val="00026793"/>
    <w:rsid w:val="00037EF6"/>
    <w:rsid w:val="000517ED"/>
    <w:rsid w:val="00056A52"/>
    <w:rsid w:val="00056EDE"/>
    <w:rsid w:val="00067639"/>
    <w:rsid w:val="000826EE"/>
    <w:rsid w:val="00087F17"/>
    <w:rsid w:val="00091C18"/>
    <w:rsid w:val="000A12EA"/>
    <w:rsid w:val="000A1F01"/>
    <w:rsid w:val="000A243A"/>
    <w:rsid w:val="000A2D1E"/>
    <w:rsid w:val="000A5856"/>
    <w:rsid w:val="000B1CB9"/>
    <w:rsid w:val="000D1199"/>
    <w:rsid w:val="000D5AE1"/>
    <w:rsid w:val="000F14B8"/>
    <w:rsid w:val="000F7113"/>
    <w:rsid w:val="00101445"/>
    <w:rsid w:val="00102F0B"/>
    <w:rsid w:val="0011761F"/>
    <w:rsid w:val="001302A8"/>
    <w:rsid w:val="0013412D"/>
    <w:rsid w:val="001462D2"/>
    <w:rsid w:val="001522DE"/>
    <w:rsid w:val="0015426B"/>
    <w:rsid w:val="00157969"/>
    <w:rsid w:val="001643A0"/>
    <w:rsid w:val="001665BB"/>
    <w:rsid w:val="00180527"/>
    <w:rsid w:val="0018406B"/>
    <w:rsid w:val="001861CB"/>
    <w:rsid w:val="0019045B"/>
    <w:rsid w:val="001933B0"/>
    <w:rsid w:val="00194272"/>
    <w:rsid w:val="00197A24"/>
    <w:rsid w:val="001B6738"/>
    <w:rsid w:val="001C7054"/>
    <w:rsid w:val="001C736E"/>
    <w:rsid w:val="001D78E0"/>
    <w:rsid w:val="001E4A39"/>
    <w:rsid w:val="001E58F6"/>
    <w:rsid w:val="001F4621"/>
    <w:rsid w:val="00200D86"/>
    <w:rsid w:val="00210222"/>
    <w:rsid w:val="00221B10"/>
    <w:rsid w:val="00222A8E"/>
    <w:rsid w:val="002311CD"/>
    <w:rsid w:val="00233D80"/>
    <w:rsid w:val="00236194"/>
    <w:rsid w:val="002372EC"/>
    <w:rsid w:val="002410E0"/>
    <w:rsid w:val="00244911"/>
    <w:rsid w:val="00247984"/>
    <w:rsid w:val="002507C4"/>
    <w:rsid w:val="00263ECF"/>
    <w:rsid w:val="00282D45"/>
    <w:rsid w:val="00283929"/>
    <w:rsid w:val="00291CF2"/>
    <w:rsid w:val="00295C69"/>
    <w:rsid w:val="002A5FFC"/>
    <w:rsid w:val="002B0197"/>
    <w:rsid w:val="002B12D1"/>
    <w:rsid w:val="002C1B4F"/>
    <w:rsid w:val="002C71B8"/>
    <w:rsid w:val="002D06C3"/>
    <w:rsid w:val="002D3065"/>
    <w:rsid w:val="002D3CE7"/>
    <w:rsid w:val="002D45E7"/>
    <w:rsid w:val="003040FD"/>
    <w:rsid w:val="003114B1"/>
    <w:rsid w:val="00317E50"/>
    <w:rsid w:val="003341B5"/>
    <w:rsid w:val="00334ECB"/>
    <w:rsid w:val="0034314E"/>
    <w:rsid w:val="00346B22"/>
    <w:rsid w:val="003669D2"/>
    <w:rsid w:val="0037289E"/>
    <w:rsid w:val="0037292D"/>
    <w:rsid w:val="00394B77"/>
    <w:rsid w:val="00394F72"/>
    <w:rsid w:val="00397A25"/>
    <w:rsid w:val="00397F50"/>
    <w:rsid w:val="003A72A7"/>
    <w:rsid w:val="003B15DC"/>
    <w:rsid w:val="003D12E1"/>
    <w:rsid w:val="003D67D4"/>
    <w:rsid w:val="003E08B0"/>
    <w:rsid w:val="003E787F"/>
    <w:rsid w:val="003F4141"/>
    <w:rsid w:val="00400C74"/>
    <w:rsid w:val="00407CBB"/>
    <w:rsid w:val="00442CC0"/>
    <w:rsid w:val="004442EC"/>
    <w:rsid w:val="0045035E"/>
    <w:rsid w:val="004709DB"/>
    <w:rsid w:val="00471216"/>
    <w:rsid w:val="004822D9"/>
    <w:rsid w:val="00483080"/>
    <w:rsid w:val="0048724D"/>
    <w:rsid w:val="00490865"/>
    <w:rsid w:val="00491D0C"/>
    <w:rsid w:val="004965D2"/>
    <w:rsid w:val="00497E4C"/>
    <w:rsid w:val="004A060F"/>
    <w:rsid w:val="004A2047"/>
    <w:rsid w:val="004B1C4B"/>
    <w:rsid w:val="004C1769"/>
    <w:rsid w:val="004C2035"/>
    <w:rsid w:val="004D421B"/>
    <w:rsid w:val="004F31AE"/>
    <w:rsid w:val="004F4518"/>
    <w:rsid w:val="004F6517"/>
    <w:rsid w:val="005046B0"/>
    <w:rsid w:val="00510A11"/>
    <w:rsid w:val="00520B2F"/>
    <w:rsid w:val="00520DC6"/>
    <w:rsid w:val="00525580"/>
    <w:rsid w:val="005327E2"/>
    <w:rsid w:val="00550010"/>
    <w:rsid w:val="00563E25"/>
    <w:rsid w:val="00573F84"/>
    <w:rsid w:val="0058283C"/>
    <w:rsid w:val="00584A26"/>
    <w:rsid w:val="005960A3"/>
    <w:rsid w:val="0059650C"/>
    <w:rsid w:val="005A0FE3"/>
    <w:rsid w:val="005B6FD8"/>
    <w:rsid w:val="005C5BD5"/>
    <w:rsid w:val="005D1392"/>
    <w:rsid w:val="005D412E"/>
    <w:rsid w:val="005D5125"/>
    <w:rsid w:val="005F1A89"/>
    <w:rsid w:val="005F6278"/>
    <w:rsid w:val="0060052B"/>
    <w:rsid w:val="006012DD"/>
    <w:rsid w:val="00602526"/>
    <w:rsid w:val="006031FE"/>
    <w:rsid w:val="0060352F"/>
    <w:rsid w:val="006079B4"/>
    <w:rsid w:val="00613442"/>
    <w:rsid w:val="00613F70"/>
    <w:rsid w:val="00625F64"/>
    <w:rsid w:val="0062661B"/>
    <w:rsid w:val="00644A7A"/>
    <w:rsid w:val="006473BF"/>
    <w:rsid w:val="00655793"/>
    <w:rsid w:val="00667D94"/>
    <w:rsid w:val="006733F3"/>
    <w:rsid w:val="00684B1A"/>
    <w:rsid w:val="00686E56"/>
    <w:rsid w:val="00686FE4"/>
    <w:rsid w:val="0069767A"/>
    <w:rsid w:val="006A0496"/>
    <w:rsid w:val="006A15B2"/>
    <w:rsid w:val="006A6CB6"/>
    <w:rsid w:val="006C64FE"/>
    <w:rsid w:val="006D1851"/>
    <w:rsid w:val="006D29C3"/>
    <w:rsid w:val="006E50D7"/>
    <w:rsid w:val="006F1B2E"/>
    <w:rsid w:val="006F276F"/>
    <w:rsid w:val="007241F8"/>
    <w:rsid w:val="00724FAD"/>
    <w:rsid w:val="007455B0"/>
    <w:rsid w:val="007472FC"/>
    <w:rsid w:val="0074773D"/>
    <w:rsid w:val="007534B9"/>
    <w:rsid w:val="007541D1"/>
    <w:rsid w:val="007570D9"/>
    <w:rsid w:val="00767648"/>
    <w:rsid w:val="007956B0"/>
    <w:rsid w:val="007B0538"/>
    <w:rsid w:val="007B0CEA"/>
    <w:rsid w:val="007B1608"/>
    <w:rsid w:val="007C20AD"/>
    <w:rsid w:val="007C2BFA"/>
    <w:rsid w:val="007C3233"/>
    <w:rsid w:val="007D34D6"/>
    <w:rsid w:val="007D4682"/>
    <w:rsid w:val="007E1021"/>
    <w:rsid w:val="007E40B1"/>
    <w:rsid w:val="008150B6"/>
    <w:rsid w:val="0082051E"/>
    <w:rsid w:val="008228AD"/>
    <w:rsid w:val="00822BDE"/>
    <w:rsid w:val="00827DE6"/>
    <w:rsid w:val="008338F7"/>
    <w:rsid w:val="00834FEF"/>
    <w:rsid w:val="00842E28"/>
    <w:rsid w:val="00843411"/>
    <w:rsid w:val="00846CDE"/>
    <w:rsid w:val="00854ACB"/>
    <w:rsid w:val="00871F06"/>
    <w:rsid w:val="00883744"/>
    <w:rsid w:val="00890CA5"/>
    <w:rsid w:val="0089730C"/>
    <w:rsid w:val="008A22B5"/>
    <w:rsid w:val="008A6242"/>
    <w:rsid w:val="008A7C88"/>
    <w:rsid w:val="008B234D"/>
    <w:rsid w:val="008C6755"/>
    <w:rsid w:val="008D0A5A"/>
    <w:rsid w:val="008E699C"/>
    <w:rsid w:val="009042C2"/>
    <w:rsid w:val="009043D3"/>
    <w:rsid w:val="0090785E"/>
    <w:rsid w:val="00910437"/>
    <w:rsid w:val="0091563C"/>
    <w:rsid w:val="00920990"/>
    <w:rsid w:val="00922AAF"/>
    <w:rsid w:val="00951FF3"/>
    <w:rsid w:val="0095428E"/>
    <w:rsid w:val="0095453B"/>
    <w:rsid w:val="009548A7"/>
    <w:rsid w:val="00956428"/>
    <w:rsid w:val="009612CF"/>
    <w:rsid w:val="00973AD3"/>
    <w:rsid w:val="00981F6B"/>
    <w:rsid w:val="009A7A1F"/>
    <w:rsid w:val="009B5D12"/>
    <w:rsid w:val="009D134E"/>
    <w:rsid w:val="009D1640"/>
    <w:rsid w:val="009D436B"/>
    <w:rsid w:val="009E3F2A"/>
    <w:rsid w:val="009F2218"/>
    <w:rsid w:val="00A001F0"/>
    <w:rsid w:val="00A00734"/>
    <w:rsid w:val="00A00EBD"/>
    <w:rsid w:val="00A125F5"/>
    <w:rsid w:val="00A13883"/>
    <w:rsid w:val="00A13CCC"/>
    <w:rsid w:val="00A202C2"/>
    <w:rsid w:val="00A24699"/>
    <w:rsid w:val="00A30002"/>
    <w:rsid w:val="00A328A2"/>
    <w:rsid w:val="00A34EC8"/>
    <w:rsid w:val="00A34FE5"/>
    <w:rsid w:val="00A561F1"/>
    <w:rsid w:val="00A8110C"/>
    <w:rsid w:val="00A94BE1"/>
    <w:rsid w:val="00AB011D"/>
    <w:rsid w:val="00AB4189"/>
    <w:rsid w:val="00AC0275"/>
    <w:rsid w:val="00AD4AB1"/>
    <w:rsid w:val="00AF2789"/>
    <w:rsid w:val="00AF528F"/>
    <w:rsid w:val="00B04D43"/>
    <w:rsid w:val="00B100FF"/>
    <w:rsid w:val="00B11A9C"/>
    <w:rsid w:val="00B1317C"/>
    <w:rsid w:val="00B35A4C"/>
    <w:rsid w:val="00B4160B"/>
    <w:rsid w:val="00B41C19"/>
    <w:rsid w:val="00B46764"/>
    <w:rsid w:val="00B46913"/>
    <w:rsid w:val="00B71B3E"/>
    <w:rsid w:val="00B71B7B"/>
    <w:rsid w:val="00B73C47"/>
    <w:rsid w:val="00B75B85"/>
    <w:rsid w:val="00B82738"/>
    <w:rsid w:val="00B871C5"/>
    <w:rsid w:val="00BC4CFD"/>
    <w:rsid w:val="00BE1583"/>
    <w:rsid w:val="00BE5940"/>
    <w:rsid w:val="00BE78E4"/>
    <w:rsid w:val="00BF7940"/>
    <w:rsid w:val="00C05D5A"/>
    <w:rsid w:val="00C2449B"/>
    <w:rsid w:val="00C45AB1"/>
    <w:rsid w:val="00C52A4E"/>
    <w:rsid w:val="00C6030A"/>
    <w:rsid w:val="00C62D4D"/>
    <w:rsid w:val="00C71425"/>
    <w:rsid w:val="00C74E3A"/>
    <w:rsid w:val="00C75BF6"/>
    <w:rsid w:val="00C84568"/>
    <w:rsid w:val="00C845B5"/>
    <w:rsid w:val="00C846D7"/>
    <w:rsid w:val="00C90733"/>
    <w:rsid w:val="00C91268"/>
    <w:rsid w:val="00CA252F"/>
    <w:rsid w:val="00CA50FD"/>
    <w:rsid w:val="00CB3F04"/>
    <w:rsid w:val="00CC6510"/>
    <w:rsid w:val="00CC76E3"/>
    <w:rsid w:val="00CD6065"/>
    <w:rsid w:val="00CD6101"/>
    <w:rsid w:val="00CD6DD1"/>
    <w:rsid w:val="00CF6B94"/>
    <w:rsid w:val="00D05790"/>
    <w:rsid w:val="00D132CF"/>
    <w:rsid w:val="00D17476"/>
    <w:rsid w:val="00D21A58"/>
    <w:rsid w:val="00D22225"/>
    <w:rsid w:val="00D52067"/>
    <w:rsid w:val="00D5339D"/>
    <w:rsid w:val="00D54C00"/>
    <w:rsid w:val="00D55B64"/>
    <w:rsid w:val="00D57F95"/>
    <w:rsid w:val="00D67748"/>
    <w:rsid w:val="00D8151A"/>
    <w:rsid w:val="00D82E73"/>
    <w:rsid w:val="00D9378E"/>
    <w:rsid w:val="00D93984"/>
    <w:rsid w:val="00D95895"/>
    <w:rsid w:val="00DB6525"/>
    <w:rsid w:val="00DC3A23"/>
    <w:rsid w:val="00DC3C39"/>
    <w:rsid w:val="00DC6B7B"/>
    <w:rsid w:val="00DD152C"/>
    <w:rsid w:val="00DD7F22"/>
    <w:rsid w:val="00DE7B55"/>
    <w:rsid w:val="00E13BA7"/>
    <w:rsid w:val="00E167CB"/>
    <w:rsid w:val="00E23BD4"/>
    <w:rsid w:val="00E27ED3"/>
    <w:rsid w:val="00E32161"/>
    <w:rsid w:val="00E33C9C"/>
    <w:rsid w:val="00E33E5F"/>
    <w:rsid w:val="00E4048C"/>
    <w:rsid w:val="00E61177"/>
    <w:rsid w:val="00E8142D"/>
    <w:rsid w:val="00E81B3D"/>
    <w:rsid w:val="00E84C6A"/>
    <w:rsid w:val="00E94898"/>
    <w:rsid w:val="00E97C60"/>
    <w:rsid w:val="00EA199D"/>
    <w:rsid w:val="00EA2622"/>
    <w:rsid w:val="00EA358B"/>
    <w:rsid w:val="00EB33CE"/>
    <w:rsid w:val="00EC0A65"/>
    <w:rsid w:val="00EC1072"/>
    <w:rsid w:val="00EF4862"/>
    <w:rsid w:val="00EF61E7"/>
    <w:rsid w:val="00F01443"/>
    <w:rsid w:val="00F40A86"/>
    <w:rsid w:val="00F411D4"/>
    <w:rsid w:val="00F42780"/>
    <w:rsid w:val="00F50A5D"/>
    <w:rsid w:val="00F5134A"/>
    <w:rsid w:val="00F53A1A"/>
    <w:rsid w:val="00F53C04"/>
    <w:rsid w:val="00F558DE"/>
    <w:rsid w:val="00F935CE"/>
    <w:rsid w:val="00FA0770"/>
    <w:rsid w:val="00FA0A61"/>
    <w:rsid w:val="00FC2881"/>
    <w:rsid w:val="00FE3C19"/>
    <w:rsid w:val="00FE4914"/>
    <w:rsid w:val="00FE76FC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9CFD8"/>
  <w15:docId w15:val="{4F73EB39-A7CA-4201-A6FF-1DAFDB7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42"/>
  </w:style>
  <w:style w:type="paragraph" w:styleId="Footer">
    <w:name w:val="footer"/>
    <w:basedOn w:val="Normal"/>
    <w:link w:val="FooterChar"/>
    <w:uiPriority w:val="99"/>
    <w:unhideWhenUsed/>
    <w:rsid w:val="0061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42"/>
  </w:style>
  <w:style w:type="paragraph" w:styleId="BalloonText">
    <w:name w:val="Balloon Text"/>
    <w:basedOn w:val="Normal"/>
    <w:link w:val="BalloonTextChar"/>
    <w:uiPriority w:val="99"/>
    <w:semiHidden/>
    <w:unhideWhenUsed/>
    <w:rsid w:val="00E1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1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B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086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 Wheeler</dc:creator>
  <cp:lastModifiedBy>Wolcott Wheeler</cp:lastModifiedBy>
  <cp:revision>6</cp:revision>
  <cp:lastPrinted>2017-12-21T16:03:00Z</cp:lastPrinted>
  <dcterms:created xsi:type="dcterms:W3CDTF">2018-01-08T14:25:00Z</dcterms:created>
  <dcterms:modified xsi:type="dcterms:W3CDTF">2019-01-17T23:10:00Z</dcterms:modified>
</cp:coreProperties>
</file>