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18" w:type="dxa"/>
        <w:tblLook w:val="04A0" w:firstRow="1" w:lastRow="0" w:firstColumn="1" w:lastColumn="0" w:noHBand="0" w:noVBand="1"/>
      </w:tblPr>
      <w:tblGrid>
        <w:gridCol w:w="4158"/>
        <w:gridCol w:w="5760"/>
      </w:tblGrid>
      <w:tr w:rsidR="001A7C6E" w:rsidRPr="004B0B08" w14:paraId="3AE3841D" w14:textId="77777777" w:rsidTr="00D203DB">
        <w:tc>
          <w:tcPr>
            <w:tcW w:w="4158" w:type="dxa"/>
          </w:tcPr>
          <w:p w14:paraId="59F84E20" w14:textId="77777777" w:rsidR="0083494E" w:rsidRPr="004B0B08" w:rsidRDefault="0083494E" w:rsidP="00933CCE">
            <w:pPr>
              <w:rPr>
                <w:rFonts w:cstheme="minorHAnsi"/>
              </w:rPr>
            </w:pPr>
            <w:r w:rsidRPr="004B0B08">
              <w:rPr>
                <w:rFonts w:cstheme="minorHAnsi"/>
              </w:rPr>
              <w:t xml:space="preserve">Video: HSBC </w:t>
            </w:r>
            <w:r w:rsidR="00933CCE" w:rsidRPr="004B0B08">
              <w:rPr>
                <w:rFonts w:cstheme="minorHAnsi"/>
              </w:rPr>
              <w:t>Protected Growth</w:t>
            </w:r>
          </w:p>
        </w:tc>
        <w:tc>
          <w:tcPr>
            <w:tcW w:w="5760" w:type="dxa"/>
          </w:tcPr>
          <w:p w14:paraId="25DA1850" w14:textId="4FEFC9C5" w:rsidR="0083494E" w:rsidRPr="004B0B08" w:rsidRDefault="0083494E" w:rsidP="00CB57B5">
            <w:pPr>
              <w:rPr>
                <w:rFonts w:cstheme="minorHAnsi"/>
              </w:rPr>
            </w:pPr>
            <w:r w:rsidRPr="004B0B08">
              <w:rPr>
                <w:rFonts w:cstheme="minorHAnsi"/>
              </w:rPr>
              <w:t>Presente</w:t>
            </w:r>
            <w:r w:rsidR="00E93106" w:rsidRPr="004B0B08">
              <w:rPr>
                <w:rFonts w:cstheme="minorHAnsi"/>
              </w:rPr>
              <w:t>r</w:t>
            </w:r>
            <w:r w:rsidRPr="004B0B08">
              <w:rPr>
                <w:rFonts w:cstheme="minorHAnsi"/>
              </w:rPr>
              <w:t>:</w:t>
            </w:r>
            <w:r w:rsidR="00E93106" w:rsidRPr="004B0B08">
              <w:rPr>
                <w:rFonts w:cstheme="minorHAnsi"/>
              </w:rPr>
              <w:t xml:space="preserve"> </w:t>
            </w:r>
            <w:r w:rsidR="00CB57B5" w:rsidRPr="004B0B08">
              <w:rPr>
                <w:rFonts w:cstheme="minorHAnsi"/>
              </w:rPr>
              <w:t>Eric Miller</w:t>
            </w:r>
          </w:p>
        </w:tc>
      </w:tr>
      <w:tr w:rsidR="001A7C6E" w:rsidRPr="004B0B08" w14:paraId="05BB60EB" w14:textId="77777777" w:rsidTr="00D203DB">
        <w:tc>
          <w:tcPr>
            <w:tcW w:w="4158" w:type="dxa"/>
          </w:tcPr>
          <w:p w14:paraId="45501836" w14:textId="77777777" w:rsidR="0083494E" w:rsidRPr="004B0B08" w:rsidRDefault="0083494E">
            <w:pPr>
              <w:rPr>
                <w:rFonts w:cstheme="minorHAnsi"/>
              </w:rPr>
            </w:pPr>
            <w:r w:rsidRPr="004B0B08">
              <w:rPr>
                <w:rFonts w:cstheme="minorHAnsi"/>
              </w:rPr>
              <w:t>Estimated time: 2 – 3 minutes</w:t>
            </w:r>
          </w:p>
        </w:tc>
        <w:tc>
          <w:tcPr>
            <w:tcW w:w="5760" w:type="dxa"/>
          </w:tcPr>
          <w:p w14:paraId="2CBDBAFE" w14:textId="77777777" w:rsidR="0083494E" w:rsidRPr="004B0B08" w:rsidRDefault="0083494E" w:rsidP="007F33FA">
            <w:pPr>
              <w:rPr>
                <w:rFonts w:cstheme="minorHAnsi"/>
              </w:rPr>
            </w:pPr>
            <w:r w:rsidRPr="004B0B08">
              <w:rPr>
                <w:rFonts w:cstheme="minorHAnsi"/>
              </w:rPr>
              <w:t>Status</w:t>
            </w:r>
            <w:r w:rsidR="00022604" w:rsidRPr="004B0B08">
              <w:rPr>
                <w:rFonts w:cstheme="minorHAnsi"/>
              </w:rPr>
              <w:t>:</w:t>
            </w:r>
            <w:r w:rsidR="00F808A6" w:rsidRPr="004B0B08">
              <w:rPr>
                <w:rFonts w:cstheme="minorHAnsi"/>
              </w:rPr>
              <w:t xml:space="preserve"> </w:t>
            </w:r>
          </w:p>
        </w:tc>
      </w:tr>
      <w:tr w:rsidR="001A7C6E" w:rsidRPr="004B0B08" w14:paraId="667E9690" w14:textId="77777777" w:rsidTr="00651D18">
        <w:trPr>
          <w:trHeight w:val="242"/>
        </w:trPr>
        <w:tc>
          <w:tcPr>
            <w:tcW w:w="4158" w:type="dxa"/>
          </w:tcPr>
          <w:p w14:paraId="0081C528" w14:textId="2BD755D3" w:rsidR="0083494E" w:rsidRPr="004B0B08" w:rsidRDefault="0083494E" w:rsidP="00B43F30">
            <w:pPr>
              <w:rPr>
                <w:rFonts w:cstheme="minorHAnsi"/>
              </w:rPr>
            </w:pPr>
            <w:r w:rsidRPr="004B0B08">
              <w:rPr>
                <w:rFonts w:cstheme="minorHAnsi"/>
              </w:rPr>
              <w:t>Version</w:t>
            </w:r>
            <w:r w:rsidR="00022604" w:rsidRPr="004B0B08">
              <w:rPr>
                <w:rFonts w:cstheme="minorHAnsi"/>
              </w:rPr>
              <w:t xml:space="preserve">: </w:t>
            </w:r>
            <w:r w:rsidR="00E93106" w:rsidRPr="004B0B08">
              <w:rPr>
                <w:rFonts w:cstheme="minorHAnsi"/>
              </w:rPr>
              <w:t xml:space="preserve"> </w:t>
            </w:r>
            <w:r w:rsidR="00295CE3">
              <w:rPr>
                <w:rFonts w:cstheme="minorHAnsi"/>
              </w:rPr>
              <w:t>final</w:t>
            </w:r>
            <w:bookmarkStart w:id="0" w:name="_GoBack"/>
            <w:bookmarkEnd w:id="0"/>
          </w:p>
        </w:tc>
        <w:tc>
          <w:tcPr>
            <w:tcW w:w="5760" w:type="dxa"/>
          </w:tcPr>
          <w:p w14:paraId="0D754256" w14:textId="1945AABD" w:rsidR="0083494E" w:rsidRPr="004B0B08" w:rsidRDefault="0083494E" w:rsidP="00B43F30">
            <w:pPr>
              <w:rPr>
                <w:rFonts w:cstheme="minorHAnsi"/>
              </w:rPr>
            </w:pPr>
            <w:r w:rsidRPr="004B0B08">
              <w:rPr>
                <w:rFonts w:cstheme="minorHAnsi"/>
              </w:rPr>
              <w:t>Revised</w:t>
            </w:r>
            <w:r w:rsidR="00022604" w:rsidRPr="004B0B08">
              <w:rPr>
                <w:rFonts w:cstheme="minorHAnsi"/>
              </w:rPr>
              <w:t>:</w:t>
            </w:r>
            <w:r w:rsidR="00CB070D" w:rsidRPr="004B0B08">
              <w:rPr>
                <w:rFonts w:cstheme="minorHAnsi"/>
              </w:rPr>
              <w:t xml:space="preserve"> </w:t>
            </w:r>
            <w:r w:rsidR="00B43F30" w:rsidRPr="004B0B08">
              <w:rPr>
                <w:rFonts w:cstheme="minorHAnsi"/>
              </w:rPr>
              <w:t>10/1</w:t>
            </w:r>
            <w:r w:rsidR="0038758A" w:rsidRPr="004B0B08">
              <w:rPr>
                <w:rFonts w:cstheme="minorHAnsi"/>
              </w:rPr>
              <w:t>/15</w:t>
            </w:r>
          </w:p>
        </w:tc>
      </w:tr>
    </w:tbl>
    <w:p w14:paraId="2162F5EF" w14:textId="77777777" w:rsidR="00B149C7" w:rsidRPr="004B0B08" w:rsidRDefault="00B149C7">
      <w:pPr>
        <w:rPr>
          <w:rFonts w:cstheme="minorHAnsi"/>
        </w:rPr>
      </w:pPr>
    </w:p>
    <w:tbl>
      <w:tblPr>
        <w:tblStyle w:val="TableGrid"/>
        <w:tblW w:w="9918" w:type="dxa"/>
        <w:tblLook w:val="04A0" w:firstRow="1" w:lastRow="0" w:firstColumn="1" w:lastColumn="0" w:noHBand="0" w:noVBand="1"/>
      </w:tblPr>
      <w:tblGrid>
        <w:gridCol w:w="771"/>
        <w:gridCol w:w="9147"/>
      </w:tblGrid>
      <w:tr w:rsidR="00DE225B" w:rsidRPr="004B0B08" w14:paraId="06004863" w14:textId="77777777" w:rsidTr="00DE225B">
        <w:tc>
          <w:tcPr>
            <w:tcW w:w="771" w:type="dxa"/>
          </w:tcPr>
          <w:p w14:paraId="0E135A76" w14:textId="058D794D" w:rsidR="00DE225B" w:rsidRPr="004B0B08" w:rsidRDefault="00DE225B">
            <w:pPr>
              <w:rPr>
                <w:rFonts w:cstheme="minorHAnsi"/>
              </w:rPr>
            </w:pPr>
            <w:r w:rsidRPr="004B0B08">
              <w:rPr>
                <w:rFonts w:cstheme="minorHAnsi"/>
                <w:b/>
              </w:rPr>
              <w:t>Scene</w:t>
            </w:r>
          </w:p>
        </w:tc>
        <w:tc>
          <w:tcPr>
            <w:tcW w:w="9147" w:type="dxa"/>
          </w:tcPr>
          <w:p w14:paraId="178225E1" w14:textId="6CEFB8F4" w:rsidR="00DE225B" w:rsidRPr="004B0B08" w:rsidRDefault="00DE225B">
            <w:pPr>
              <w:rPr>
                <w:rFonts w:cstheme="minorHAnsi"/>
              </w:rPr>
            </w:pPr>
            <w:r w:rsidRPr="004B0B08">
              <w:rPr>
                <w:rFonts w:cstheme="minorHAnsi"/>
                <w:b/>
              </w:rPr>
              <w:t>Voice-Over</w:t>
            </w:r>
          </w:p>
        </w:tc>
      </w:tr>
      <w:tr w:rsidR="00DE225B" w:rsidRPr="004B0B08" w14:paraId="5E0A792F" w14:textId="77777777" w:rsidTr="00DE225B">
        <w:tc>
          <w:tcPr>
            <w:tcW w:w="771" w:type="dxa"/>
          </w:tcPr>
          <w:p w14:paraId="53E5B0D7" w14:textId="5439E986" w:rsidR="00DE225B" w:rsidRPr="004B0B08" w:rsidRDefault="00DE225B">
            <w:pPr>
              <w:rPr>
                <w:rFonts w:cstheme="minorHAnsi"/>
              </w:rPr>
            </w:pPr>
            <w:r w:rsidRPr="004B0B08">
              <w:rPr>
                <w:rFonts w:cstheme="minorHAnsi"/>
              </w:rPr>
              <w:t>1</w:t>
            </w:r>
          </w:p>
        </w:tc>
        <w:tc>
          <w:tcPr>
            <w:tcW w:w="9147" w:type="dxa"/>
          </w:tcPr>
          <w:p w14:paraId="799E06D6" w14:textId="77777777" w:rsidR="00DE225B" w:rsidRPr="004B0B08" w:rsidRDefault="00DE225B" w:rsidP="007B3123">
            <w:pPr>
              <w:rPr>
                <w:rFonts w:cstheme="minorHAnsi"/>
              </w:rPr>
            </w:pPr>
            <w:r w:rsidRPr="004B0B08">
              <w:rPr>
                <w:rFonts w:cstheme="minorHAnsi"/>
              </w:rPr>
              <w:t>Are your clients concerned about today’s turbulent market environment?  Are they seeking ways to help protect against market downturns—but at the same time don’t want to miss a move higher?</w:t>
            </w:r>
          </w:p>
          <w:p w14:paraId="3E79402B" w14:textId="77777777" w:rsidR="00DE225B" w:rsidRPr="004B0B08" w:rsidRDefault="00DE225B" w:rsidP="007B3123">
            <w:pPr>
              <w:rPr>
                <w:rFonts w:cstheme="minorHAnsi"/>
              </w:rPr>
            </w:pPr>
          </w:p>
          <w:p w14:paraId="4C9F9833" w14:textId="77777777" w:rsidR="00DE225B" w:rsidRPr="004B0B08" w:rsidRDefault="00DE225B" w:rsidP="007B3123">
            <w:pPr>
              <w:rPr>
                <w:rFonts w:cstheme="minorHAnsi"/>
              </w:rPr>
            </w:pPr>
            <w:r w:rsidRPr="004B0B08">
              <w:rPr>
                <w:rFonts w:cstheme="minorHAnsi"/>
              </w:rPr>
              <w:t>Hi, I’m Eric Miller with HSBC, and I’d like to introduce you to some Protected Growth investments that can allow your clients to help achieve these goals. These investments can provide your clients with a defined measure of downside protection to market moves, while keeping them exposed to potential upside gains in the market.</w:t>
            </w:r>
          </w:p>
          <w:p w14:paraId="219EA98E" w14:textId="77777777" w:rsidR="00DE225B" w:rsidRPr="004B0B08" w:rsidRDefault="00DE225B" w:rsidP="007B3123">
            <w:pPr>
              <w:rPr>
                <w:rFonts w:cstheme="minorHAnsi"/>
              </w:rPr>
            </w:pPr>
          </w:p>
          <w:p w14:paraId="5EDB7BEF" w14:textId="77777777" w:rsidR="00DE225B" w:rsidRPr="004B0B08" w:rsidRDefault="00DE225B" w:rsidP="007B3123">
            <w:pPr>
              <w:rPr>
                <w:rFonts w:cstheme="minorHAnsi"/>
              </w:rPr>
            </w:pPr>
            <w:r w:rsidRPr="004B0B08">
              <w:rPr>
                <w:rFonts w:cstheme="minorHAnsi"/>
              </w:rPr>
              <w:t xml:space="preserve">The goal here is to help </w:t>
            </w:r>
            <w:r w:rsidRPr="004B0B08">
              <w:rPr>
                <w:rFonts w:cstheme="minorHAnsi"/>
                <w:b/>
                <w:u w:val="single"/>
              </w:rPr>
              <w:t>manage risk</w:t>
            </w:r>
            <w:r w:rsidRPr="004B0B08">
              <w:rPr>
                <w:rFonts w:cstheme="minorHAnsi"/>
              </w:rPr>
              <w:t xml:space="preserve">—while </w:t>
            </w:r>
            <w:r w:rsidRPr="004B0B08">
              <w:rPr>
                <w:rFonts w:cstheme="minorHAnsi"/>
                <w:b/>
                <w:u w:val="single"/>
              </w:rPr>
              <w:t>staying invested</w:t>
            </w:r>
            <w:r w:rsidRPr="004B0B08">
              <w:rPr>
                <w:rFonts w:cstheme="minorHAnsi"/>
              </w:rPr>
              <w:t>.</w:t>
            </w:r>
          </w:p>
          <w:p w14:paraId="2DBE0EC2" w14:textId="77777777" w:rsidR="00DE225B" w:rsidRPr="004B0B08" w:rsidRDefault="00DE225B">
            <w:pPr>
              <w:rPr>
                <w:rFonts w:cstheme="minorHAnsi"/>
              </w:rPr>
            </w:pPr>
          </w:p>
        </w:tc>
      </w:tr>
      <w:tr w:rsidR="00DE225B" w:rsidRPr="004B0B08" w14:paraId="168C334B" w14:textId="77777777" w:rsidTr="00DE225B">
        <w:tc>
          <w:tcPr>
            <w:tcW w:w="771" w:type="dxa"/>
          </w:tcPr>
          <w:p w14:paraId="52D7E800" w14:textId="65A2F24A" w:rsidR="00DE225B" w:rsidRPr="004B0B08" w:rsidRDefault="00DE225B">
            <w:pPr>
              <w:rPr>
                <w:rFonts w:cstheme="minorHAnsi"/>
              </w:rPr>
            </w:pPr>
            <w:r w:rsidRPr="004B0B08">
              <w:rPr>
                <w:rFonts w:cstheme="minorHAnsi"/>
              </w:rPr>
              <w:t>2</w:t>
            </w:r>
          </w:p>
        </w:tc>
        <w:tc>
          <w:tcPr>
            <w:tcW w:w="9147" w:type="dxa"/>
          </w:tcPr>
          <w:p w14:paraId="363854BF" w14:textId="77777777" w:rsidR="00DE225B" w:rsidRPr="004B0B08" w:rsidRDefault="00DE225B" w:rsidP="005F4194">
            <w:pPr>
              <w:rPr>
                <w:rFonts w:cstheme="minorHAnsi"/>
              </w:rPr>
            </w:pPr>
            <w:r w:rsidRPr="004B0B08">
              <w:rPr>
                <w:rFonts w:cstheme="minorHAnsi"/>
              </w:rPr>
              <w:t xml:space="preserve">At HSBC, we offer several investment options that can help protect by providing a </w:t>
            </w:r>
            <w:r w:rsidRPr="004B0B08">
              <w:rPr>
                <w:rFonts w:cstheme="minorHAnsi"/>
                <w:b/>
                <w:u w:val="single"/>
              </w:rPr>
              <w:t>buffer</w:t>
            </w:r>
            <w:r w:rsidRPr="004B0B08">
              <w:rPr>
                <w:rFonts w:cstheme="minorHAnsi"/>
              </w:rPr>
              <w:t xml:space="preserve"> against a market decline.  They’re called buffered notes.  </w:t>
            </w:r>
          </w:p>
          <w:p w14:paraId="2A17E4CD" w14:textId="77777777" w:rsidR="00DE225B" w:rsidRPr="004B0B08" w:rsidRDefault="00DE225B" w:rsidP="005F4194">
            <w:pPr>
              <w:rPr>
                <w:rFonts w:cstheme="minorHAnsi"/>
              </w:rPr>
            </w:pPr>
          </w:p>
          <w:p w14:paraId="71B155E6" w14:textId="77777777" w:rsidR="00DE225B" w:rsidRPr="004B0B08" w:rsidRDefault="00DE225B" w:rsidP="005F4194">
            <w:pPr>
              <w:rPr>
                <w:rFonts w:cstheme="minorHAnsi"/>
              </w:rPr>
            </w:pPr>
            <w:r w:rsidRPr="004B0B08">
              <w:rPr>
                <w:rFonts w:cstheme="minorHAnsi"/>
              </w:rPr>
              <w:t xml:space="preserve">Today we’re seeing increased volatility in the markets.  Combine that with the potential of rising rates, and we have a recipe for further market fluctuations.  HSBC Buffered Notes are designed help to counter these headwinds, and seek to redefine the traditional risk-reward relationship in equity investing.  </w:t>
            </w:r>
          </w:p>
          <w:p w14:paraId="3B39590F" w14:textId="77777777" w:rsidR="00DE225B" w:rsidRPr="004B0B08" w:rsidRDefault="00DE225B" w:rsidP="005F4194">
            <w:pPr>
              <w:tabs>
                <w:tab w:val="left" w:pos="2256"/>
              </w:tabs>
              <w:rPr>
                <w:rFonts w:cstheme="minorHAnsi"/>
              </w:rPr>
            </w:pPr>
          </w:p>
          <w:p w14:paraId="221A5BB5" w14:textId="77777777" w:rsidR="00DE225B" w:rsidRPr="004B0B08" w:rsidRDefault="00DE225B" w:rsidP="005F4194">
            <w:pPr>
              <w:tabs>
                <w:tab w:val="left" w:pos="2256"/>
              </w:tabs>
              <w:rPr>
                <w:rFonts w:cstheme="minorHAnsi"/>
              </w:rPr>
            </w:pPr>
            <w:r w:rsidRPr="004B0B08">
              <w:rPr>
                <w:rFonts w:cstheme="minorHAnsi"/>
              </w:rPr>
              <w:t>So let’s take a closer look…</w:t>
            </w:r>
          </w:p>
          <w:p w14:paraId="3FEC1F5E" w14:textId="77777777" w:rsidR="00DE225B" w:rsidRPr="004B0B08" w:rsidRDefault="00DE225B">
            <w:pPr>
              <w:rPr>
                <w:rFonts w:cstheme="minorHAnsi"/>
              </w:rPr>
            </w:pPr>
          </w:p>
        </w:tc>
      </w:tr>
      <w:tr w:rsidR="00DE225B" w:rsidRPr="004B0B08" w14:paraId="50674125" w14:textId="77777777" w:rsidTr="00DE225B">
        <w:tc>
          <w:tcPr>
            <w:tcW w:w="771" w:type="dxa"/>
          </w:tcPr>
          <w:p w14:paraId="1B98861C" w14:textId="04D46290" w:rsidR="00DE225B" w:rsidRPr="004B0B08" w:rsidRDefault="00DE225B">
            <w:pPr>
              <w:rPr>
                <w:rFonts w:cstheme="minorHAnsi"/>
              </w:rPr>
            </w:pPr>
            <w:r w:rsidRPr="004B0B08">
              <w:rPr>
                <w:rFonts w:cstheme="minorHAnsi"/>
              </w:rPr>
              <w:t>3</w:t>
            </w:r>
          </w:p>
        </w:tc>
        <w:tc>
          <w:tcPr>
            <w:tcW w:w="9147" w:type="dxa"/>
          </w:tcPr>
          <w:p w14:paraId="04AFEAC6" w14:textId="77777777" w:rsidR="00DE225B" w:rsidRPr="004B0B08" w:rsidRDefault="00DE225B" w:rsidP="00EA0CB7">
            <w:pPr>
              <w:rPr>
                <w:rFonts w:cstheme="minorHAnsi"/>
              </w:rPr>
            </w:pPr>
            <w:r w:rsidRPr="004B0B08">
              <w:rPr>
                <w:rFonts w:cstheme="minorHAnsi"/>
              </w:rPr>
              <w:t xml:space="preserve">First off—what are buffered notes?  They’re short- to medium-term investments that are issued and backed by HSBC. These investments offer a return at maturity based on the performance of the stock market, and also provide a downside cushion.  </w:t>
            </w:r>
          </w:p>
          <w:p w14:paraId="6BCE7064" w14:textId="77777777" w:rsidR="00DE225B" w:rsidRPr="004B0B08" w:rsidRDefault="00DE225B" w:rsidP="00EA0CB7">
            <w:pPr>
              <w:rPr>
                <w:rFonts w:cstheme="minorHAnsi"/>
              </w:rPr>
            </w:pPr>
          </w:p>
          <w:p w14:paraId="69BA8A96" w14:textId="77777777" w:rsidR="00DE225B" w:rsidRPr="004B0B08" w:rsidRDefault="00DE225B" w:rsidP="00EA0CB7">
            <w:pPr>
              <w:rPr>
                <w:rFonts w:cstheme="minorHAnsi"/>
              </w:rPr>
            </w:pPr>
            <w:r w:rsidRPr="004B0B08">
              <w:rPr>
                <w:rFonts w:cstheme="minorHAnsi"/>
              </w:rPr>
              <w:t xml:space="preserve">Buffered notes are typically linked to familiar ETFs or broad-based equity indices such as the S&amp;P 500, Russell 2000 or the Euro Stoxx 50. </w:t>
            </w:r>
          </w:p>
          <w:p w14:paraId="346389AA" w14:textId="77777777" w:rsidR="00DE225B" w:rsidRPr="004B0B08" w:rsidRDefault="00DE225B" w:rsidP="00EA0CB7">
            <w:pPr>
              <w:rPr>
                <w:rFonts w:cstheme="minorHAnsi"/>
              </w:rPr>
            </w:pPr>
          </w:p>
          <w:p w14:paraId="69A50B2F" w14:textId="77777777" w:rsidR="00DE225B" w:rsidRPr="004B0B08" w:rsidRDefault="00DE225B" w:rsidP="00EA0CB7">
            <w:r w:rsidRPr="004B0B08">
              <w:t>So who might be interested?</w:t>
            </w:r>
          </w:p>
          <w:p w14:paraId="7BAAEE66" w14:textId="77777777" w:rsidR="00DE225B" w:rsidRPr="004B0B08" w:rsidRDefault="00DE225B" w:rsidP="00EA0CB7">
            <w:pPr>
              <w:pStyle w:val="ListParagraph"/>
              <w:numPr>
                <w:ilvl w:val="0"/>
                <w:numId w:val="28"/>
              </w:numPr>
            </w:pPr>
            <w:r w:rsidRPr="004B0B08">
              <w:t>Clients who want equity exposure but are worried about timing the market</w:t>
            </w:r>
          </w:p>
          <w:p w14:paraId="6788C792" w14:textId="77777777" w:rsidR="00DE225B" w:rsidRPr="004B0B08" w:rsidRDefault="00DE225B" w:rsidP="00EA0CB7">
            <w:pPr>
              <w:pStyle w:val="ListParagraph"/>
              <w:numPr>
                <w:ilvl w:val="0"/>
                <w:numId w:val="28"/>
              </w:numPr>
            </w:pPr>
            <w:r w:rsidRPr="004B0B08">
              <w:t>Equity investors who want downside protection, and</w:t>
            </w:r>
          </w:p>
          <w:p w14:paraId="055D2A4C" w14:textId="77777777" w:rsidR="00DE225B" w:rsidRPr="004B0B08" w:rsidRDefault="00DE225B" w:rsidP="00EA0CB7">
            <w:pPr>
              <w:pStyle w:val="ListParagraph"/>
              <w:numPr>
                <w:ilvl w:val="0"/>
                <w:numId w:val="28"/>
              </w:numPr>
            </w:pPr>
            <w:r w:rsidRPr="004B0B08">
              <w:t>Opportunistic clients looking for tactical market opportunities with enhanced participation.</w:t>
            </w:r>
          </w:p>
          <w:p w14:paraId="622C5B8E" w14:textId="77777777" w:rsidR="00DE225B" w:rsidRPr="004B0B08" w:rsidRDefault="00DE225B" w:rsidP="00EA0CB7">
            <w:pPr>
              <w:ind w:left="360"/>
            </w:pPr>
          </w:p>
          <w:p w14:paraId="455DAD0C" w14:textId="5AC14E65" w:rsidR="00DE225B" w:rsidRPr="004B0B08" w:rsidRDefault="00DE225B" w:rsidP="00EA0CB7">
            <w:pPr>
              <w:rPr>
                <w:rFonts w:cstheme="minorHAnsi"/>
              </w:rPr>
            </w:pPr>
            <w:r w:rsidRPr="004B0B08">
              <w:t xml:space="preserve">Does this bring any of </w:t>
            </w:r>
            <w:r w:rsidRPr="004B0B08">
              <w:rPr>
                <w:b/>
                <w:i/>
                <w:u w:val="single"/>
              </w:rPr>
              <w:t>your</w:t>
            </w:r>
            <w:r w:rsidRPr="004B0B08">
              <w:t xml:space="preserve"> clients to mind?</w:t>
            </w:r>
          </w:p>
        </w:tc>
      </w:tr>
      <w:tr w:rsidR="00DE225B" w:rsidRPr="004B0B08" w14:paraId="73A5C7D1" w14:textId="77777777" w:rsidTr="00DE225B">
        <w:tc>
          <w:tcPr>
            <w:tcW w:w="771" w:type="dxa"/>
          </w:tcPr>
          <w:p w14:paraId="243B0295" w14:textId="5674848C" w:rsidR="00DE225B" w:rsidRPr="004B0B08" w:rsidRDefault="00DE225B">
            <w:pPr>
              <w:rPr>
                <w:rFonts w:cstheme="minorHAnsi"/>
              </w:rPr>
            </w:pPr>
            <w:r w:rsidRPr="004B0B08">
              <w:rPr>
                <w:rFonts w:cstheme="minorHAnsi"/>
              </w:rPr>
              <w:t>4</w:t>
            </w:r>
          </w:p>
        </w:tc>
        <w:tc>
          <w:tcPr>
            <w:tcW w:w="9147" w:type="dxa"/>
          </w:tcPr>
          <w:p w14:paraId="03DCFBCC" w14:textId="77777777" w:rsidR="00DE225B" w:rsidRPr="004B0B08" w:rsidRDefault="00DE225B" w:rsidP="00777E14">
            <w:pPr>
              <w:rPr>
                <w:rFonts w:cstheme="minorHAnsi"/>
              </w:rPr>
            </w:pPr>
            <w:r w:rsidRPr="004B0B08">
              <w:rPr>
                <w:rFonts w:cstheme="minorHAnsi"/>
              </w:rPr>
              <w:t>Each month, HSBC offers two types of buffered notes:</w:t>
            </w:r>
          </w:p>
          <w:p w14:paraId="4FB47CC0" w14:textId="77777777" w:rsidR="00DE225B" w:rsidRPr="004B0B08" w:rsidRDefault="00DE225B" w:rsidP="00777E14">
            <w:pPr>
              <w:pStyle w:val="ListParagraph"/>
              <w:numPr>
                <w:ilvl w:val="0"/>
                <w:numId w:val="30"/>
              </w:numPr>
              <w:rPr>
                <w:rFonts w:cstheme="minorHAnsi"/>
              </w:rPr>
            </w:pPr>
            <w:r w:rsidRPr="004B0B08">
              <w:rPr>
                <w:rFonts w:cstheme="minorHAnsi"/>
              </w:rPr>
              <w:t xml:space="preserve">Buffered </w:t>
            </w:r>
            <w:r w:rsidRPr="004B0B08">
              <w:rPr>
                <w:rFonts w:cstheme="minorHAnsi"/>
                <w:b/>
                <w:i/>
              </w:rPr>
              <w:t>Uncapped</w:t>
            </w:r>
            <w:r w:rsidRPr="004B0B08">
              <w:rPr>
                <w:rFonts w:cstheme="minorHAnsi"/>
              </w:rPr>
              <w:t xml:space="preserve"> Market Participation Securities; and</w:t>
            </w:r>
          </w:p>
          <w:p w14:paraId="5A22C211" w14:textId="77777777" w:rsidR="00DE225B" w:rsidRPr="004B0B08" w:rsidRDefault="00DE225B" w:rsidP="00777E14">
            <w:pPr>
              <w:pStyle w:val="ListParagraph"/>
              <w:numPr>
                <w:ilvl w:val="0"/>
                <w:numId w:val="30"/>
              </w:numPr>
              <w:rPr>
                <w:rFonts w:cstheme="minorHAnsi"/>
              </w:rPr>
            </w:pPr>
            <w:r w:rsidRPr="004B0B08">
              <w:rPr>
                <w:rFonts w:cstheme="minorHAnsi"/>
              </w:rPr>
              <w:t xml:space="preserve">Buffered </w:t>
            </w:r>
            <w:r w:rsidRPr="004B0B08">
              <w:rPr>
                <w:rFonts w:cstheme="minorHAnsi"/>
                <w:b/>
                <w:i/>
              </w:rPr>
              <w:t>Accelerated</w:t>
            </w:r>
            <w:r w:rsidRPr="004B0B08">
              <w:rPr>
                <w:rFonts w:cstheme="minorHAnsi"/>
              </w:rPr>
              <w:t xml:space="preserve"> Market Participation Securities.</w:t>
            </w:r>
          </w:p>
          <w:p w14:paraId="06DED551" w14:textId="4B084938" w:rsidR="00DE225B" w:rsidRPr="004B0B08" w:rsidRDefault="00DE225B">
            <w:pPr>
              <w:rPr>
                <w:rFonts w:cstheme="minorHAnsi"/>
              </w:rPr>
            </w:pPr>
          </w:p>
        </w:tc>
      </w:tr>
      <w:tr w:rsidR="00DE225B" w:rsidRPr="004B0B08" w14:paraId="4F00B2E5" w14:textId="77777777" w:rsidTr="00DE225B">
        <w:tc>
          <w:tcPr>
            <w:tcW w:w="771" w:type="dxa"/>
          </w:tcPr>
          <w:p w14:paraId="39EF80F5" w14:textId="3873BC37" w:rsidR="00DE225B" w:rsidRPr="004B0B08" w:rsidRDefault="00DE225B">
            <w:pPr>
              <w:rPr>
                <w:rFonts w:cstheme="minorHAnsi"/>
              </w:rPr>
            </w:pPr>
            <w:r w:rsidRPr="004B0B08">
              <w:rPr>
                <w:rFonts w:cstheme="minorHAnsi"/>
              </w:rPr>
              <w:t>5</w:t>
            </w:r>
          </w:p>
        </w:tc>
        <w:tc>
          <w:tcPr>
            <w:tcW w:w="9147" w:type="dxa"/>
          </w:tcPr>
          <w:p w14:paraId="34E7605C" w14:textId="77777777" w:rsidR="00DE225B" w:rsidRPr="004B0B08" w:rsidRDefault="00DE225B" w:rsidP="00DC49F8">
            <w:pPr>
              <w:rPr>
                <w:rFonts w:cstheme="minorHAnsi"/>
              </w:rPr>
            </w:pPr>
            <w:r w:rsidRPr="004B0B08">
              <w:rPr>
                <w:rFonts w:cstheme="minorHAnsi"/>
              </w:rPr>
              <w:t xml:space="preserve">So how do these investments work? I can sum it up for you quite simply by focusing on what happens when the underlying index or ETF goes </w:t>
            </w:r>
            <w:r w:rsidRPr="004B0B08">
              <w:rPr>
                <w:rFonts w:cstheme="minorHAnsi"/>
                <w:b/>
              </w:rPr>
              <w:t>up</w:t>
            </w:r>
            <w:r w:rsidRPr="004B0B08">
              <w:rPr>
                <w:rFonts w:cstheme="minorHAnsi"/>
              </w:rPr>
              <w:t xml:space="preserve"> and what happens when it goes </w:t>
            </w:r>
            <w:r w:rsidRPr="004B0B08">
              <w:rPr>
                <w:rFonts w:cstheme="minorHAnsi"/>
                <w:b/>
              </w:rPr>
              <w:t>down</w:t>
            </w:r>
            <w:r w:rsidRPr="004B0B08">
              <w:rPr>
                <w:rFonts w:cstheme="minorHAnsi"/>
              </w:rPr>
              <w:t>.</w:t>
            </w:r>
          </w:p>
          <w:p w14:paraId="2B687241" w14:textId="77777777" w:rsidR="00DE225B" w:rsidRPr="004B0B08" w:rsidRDefault="00DE225B" w:rsidP="00DC49F8">
            <w:pPr>
              <w:pStyle w:val="ListParagraph"/>
              <w:numPr>
                <w:ilvl w:val="0"/>
                <w:numId w:val="35"/>
              </w:numPr>
              <w:rPr>
                <w:rFonts w:cstheme="minorHAnsi"/>
              </w:rPr>
            </w:pPr>
            <w:r w:rsidRPr="004B0B08">
              <w:rPr>
                <w:rFonts w:cstheme="minorHAnsi"/>
              </w:rPr>
              <w:t xml:space="preserve">If the price of the underlying index goes down by an amount </w:t>
            </w:r>
            <w:r w:rsidRPr="004B0B08">
              <w:rPr>
                <w:rFonts w:cstheme="minorHAnsi"/>
                <w:b/>
                <w:u w:val="single"/>
              </w:rPr>
              <w:t>less</w:t>
            </w:r>
            <w:r w:rsidRPr="004B0B08">
              <w:rPr>
                <w:rFonts w:cstheme="minorHAnsi"/>
              </w:rPr>
              <w:t xml:space="preserve"> than the buffer level, HSBC will effectively step in and absorb the loss, and investors will receive their original </w:t>
            </w:r>
            <w:r w:rsidRPr="004B0B08">
              <w:rPr>
                <w:rFonts w:cstheme="minorHAnsi"/>
              </w:rPr>
              <w:lastRenderedPageBreak/>
              <w:t>investment back at maturity.</w:t>
            </w:r>
          </w:p>
          <w:p w14:paraId="60F3F05E" w14:textId="44A1354E" w:rsidR="00DE225B" w:rsidRPr="004B0B08" w:rsidRDefault="00DE225B" w:rsidP="00DC49F8">
            <w:pPr>
              <w:pStyle w:val="ListParagraph"/>
              <w:numPr>
                <w:ilvl w:val="0"/>
                <w:numId w:val="35"/>
              </w:numPr>
              <w:rPr>
                <w:rFonts w:cstheme="minorHAnsi"/>
              </w:rPr>
            </w:pPr>
            <w:r w:rsidRPr="004B0B08">
              <w:rPr>
                <w:rFonts w:cstheme="minorHAnsi"/>
              </w:rPr>
              <w:t xml:space="preserve">Now if the price of the index falls by </w:t>
            </w:r>
            <w:r w:rsidRPr="004B0B08">
              <w:rPr>
                <w:rFonts w:cstheme="minorHAnsi"/>
                <w:b/>
                <w:u w:val="single"/>
              </w:rPr>
              <w:t>more</w:t>
            </w:r>
            <w:r w:rsidRPr="004B0B08">
              <w:rPr>
                <w:rFonts w:cstheme="minorHAnsi"/>
              </w:rPr>
              <w:t xml:space="preserve"> than the buffer level, investors lose one percent for each percent below</w:t>
            </w:r>
            <w:r w:rsidRPr="004B0B08">
              <w:rPr>
                <w:rFonts w:cstheme="minorHAnsi"/>
                <w:b/>
              </w:rPr>
              <w:t xml:space="preserve"> </w:t>
            </w:r>
            <w:r w:rsidRPr="004B0B08">
              <w:rPr>
                <w:rFonts w:cstheme="minorHAnsi"/>
              </w:rPr>
              <w:t xml:space="preserve">the buffer level.  For example, if the underlying index is down 17% and the buffer level is 15%, investors will lose 2% of their original investment. </w:t>
            </w:r>
            <w:r w:rsidR="00645B72" w:rsidRPr="004B0B08">
              <w:rPr>
                <w:rFonts w:cstheme="minorHAnsi"/>
              </w:rPr>
              <w:t xml:space="preserve">That’s it. </w:t>
            </w:r>
          </w:p>
          <w:p w14:paraId="09592E4D" w14:textId="77777777" w:rsidR="00DE225B" w:rsidRPr="004B0B08" w:rsidRDefault="00DE225B" w:rsidP="00DC49F8">
            <w:pPr>
              <w:pStyle w:val="ListParagraph"/>
              <w:rPr>
                <w:rFonts w:cstheme="minorHAnsi"/>
              </w:rPr>
            </w:pPr>
          </w:p>
          <w:p w14:paraId="3D5205E2" w14:textId="77777777" w:rsidR="00DE225B" w:rsidRPr="004B0B08" w:rsidRDefault="00DE225B" w:rsidP="00DC49F8">
            <w:pPr>
              <w:pStyle w:val="ListParagraph"/>
              <w:numPr>
                <w:ilvl w:val="0"/>
                <w:numId w:val="35"/>
              </w:numPr>
              <w:rPr>
                <w:rFonts w:cstheme="minorHAnsi"/>
              </w:rPr>
            </w:pPr>
            <w:r w:rsidRPr="004B0B08">
              <w:rPr>
                <w:rFonts w:cstheme="minorHAnsi"/>
              </w:rPr>
              <w:t xml:space="preserve">What happens when the underlying index </w:t>
            </w:r>
            <w:r w:rsidRPr="004B0B08">
              <w:rPr>
                <w:rFonts w:cstheme="minorHAnsi"/>
                <w:b/>
              </w:rPr>
              <w:t>is up</w:t>
            </w:r>
            <w:r w:rsidRPr="004B0B08">
              <w:rPr>
                <w:rFonts w:cstheme="minorHAnsi"/>
              </w:rPr>
              <w:t xml:space="preserve"> at maturity?</w:t>
            </w:r>
          </w:p>
          <w:p w14:paraId="0EB874A3" w14:textId="77777777" w:rsidR="00DE225B" w:rsidRPr="004B0B08" w:rsidRDefault="00DE225B" w:rsidP="00DC49F8">
            <w:pPr>
              <w:pStyle w:val="ListParagraph"/>
              <w:numPr>
                <w:ilvl w:val="0"/>
                <w:numId w:val="35"/>
              </w:numPr>
              <w:rPr>
                <w:rFonts w:cstheme="minorHAnsi"/>
              </w:rPr>
            </w:pPr>
            <w:r w:rsidRPr="004B0B08">
              <w:rPr>
                <w:rFonts w:cstheme="minorHAnsi"/>
              </w:rPr>
              <w:t xml:space="preserve">This is where our two types of Buffered Notes differ. </w:t>
            </w:r>
          </w:p>
          <w:p w14:paraId="555F5A45" w14:textId="77777777" w:rsidR="00DE225B" w:rsidRPr="004B0B08" w:rsidRDefault="00DE225B" w:rsidP="00DC49F8">
            <w:pPr>
              <w:pStyle w:val="ListParagraph"/>
              <w:numPr>
                <w:ilvl w:val="0"/>
                <w:numId w:val="35"/>
              </w:numPr>
              <w:rPr>
                <w:rFonts w:cstheme="minorHAnsi"/>
              </w:rPr>
            </w:pPr>
            <w:r w:rsidRPr="004B0B08">
              <w:rPr>
                <w:rFonts w:cstheme="minorHAnsi"/>
              </w:rPr>
              <w:t xml:space="preserve">For the </w:t>
            </w:r>
            <w:r w:rsidRPr="004B0B08">
              <w:rPr>
                <w:rFonts w:cstheme="minorHAnsi"/>
                <w:b/>
              </w:rPr>
              <w:t>Buffered Uncapped Note</w:t>
            </w:r>
            <w:r w:rsidRPr="004B0B08">
              <w:rPr>
                <w:rFonts w:cstheme="minorHAnsi"/>
              </w:rPr>
              <w:t xml:space="preserve">, investors receive 100% of the return of the index. This note is intended for investors looking to fully track the upside price return of the index over a four- to five-year investment period. </w:t>
            </w:r>
          </w:p>
          <w:p w14:paraId="4616E6BA" w14:textId="77777777" w:rsidR="00DE225B" w:rsidRPr="004B0B08" w:rsidRDefault="00DE225B" w:rsidP="00DC49F8">
            <w:pPr>
              <w:pStyle w:val="ListParagraph"/>
              <w:numPr>
                <w:ilvl w:val="0"/>
                <w:numId w:val="35"/>
              </w:numPr>
              <w:rPr>
                <w:rFonts w:cstheme="minorHAnsi"/>
              </w:rPr>
            </w:pPr>
            <w:r w:rsidRPr="004B0B08">
              <w:rPr>
                <w:rFonts w:cstheme="minorHAnsi"/>
              </w:rPr>
              <w:t xml:space="preserve">For the </w:t>
            </w:r>
            <w:r w:rsidRPr="004B0B08">
              <w:rPr>
                <w:rFonts w:cstheme="minorHAnsi"/>
                <w:b/>
              </w:rPr>
              <w:t>Buffered Accelerated Note</w:t>
            </w:r>
            <w:r w:rsidRPr="004B0B08">
              <w:rPr>
                <w:rFonts w:cstheme="minorHAnsi"/>
              </w:rPr>
              <w:t xml:space="preserve">, investors receive an enhanced or </w:t>
            </w:r>
            <w:r w:rsidRPr="004B0B08">
              <w:rPr>
                <w:rFonts w:cstheme="minorHAnsi"/>
                <w:b/>
              </w:rPr>
              <w:t>accelerated</w:t>
            </w:r>
            <w:r w:rsidRPr="004B0B08">
              <w:rPr>
                <w:rFonts w:cstheme="minorHAnsi"/>
              </w:rPr>
              <w:t xml:space="preserve"> return, typically at 1.5 to 2 times the return of the underlying, up to a pre-defined maximum return level. This investment is intended for clients seeking a shorter-dated, tactical approach over a 2-to-3 year investment period.</w:t>
            </w:r>
          </w:p>
          <w:p w14:paraId="779E495B" w14:textId="77777777" w:rsidR="00DE225B" w:rsidRPr="004B0B08" w:rsidRDefault="00DE225B" w:rsidP="00DC49F8">
            <w:pPr>
              <w:rPr>
                <w:rFonts w:asciiTheme="majorHAnsi" w:eastAsiaTheme="majorEastAsia" w:hAnsiTheme="majorHAnsi"/>
                <w:b/>
                <w:bCs/>
                <w:color w:val="4F81BD" w:themeColor="accent1"/>
              </w:rPr>
            </w:pPr>
          </w:p>
          <w:p w14:paraId="0E711575" w14:textId="77777777" w:rsidR="00DE225B" w:rsidRPr="004B0B08" w:rsidRDefault="00DE225B" w:rsidP="00DC49F8">
            <w:pPr>
              <w:pStyle w:val="ListParagraph"/>
              <w:numPr>
                <w:ilvl w:val="0"/>
                <w:numId w:val="35"/>
              </w:numPr>
            </w:pPr>
            <w:r w:rsidRPr="004B0B08">
              <w:rPr>
                <w:rFonts w:cstheme="minorHAnsi"/>
              </w:rPr>
              <w:t xml:space="preserve">You may be thinking: what’s the tradeoff for this downside protection? Well, buffered notes do </w:t>
            </w:r>
            <w:r w:rsidRPr="004B0B08">
              <w:rPr>
                <w:rFonts w:cstheme="minorHAnsi"/>
                <w:b/>
              </w:rPr>
              <w:t>not</w:t>
            </w:r>
            <w:r w:rsidRPr="004B0B08">
              <w:rPr>
                <w:rFonts w:cstheme="minorHAnsi"/>
              </w:rPr>
              <w:t xml:space="preserve"> offer dividends that a direct investment in the underlying stock index might. Another consideration is that these are buy-and-hold investments with maturities from 2-to-5 years that have exposure to the credit risk of HSBC, one of the world’s largest financial institutions. </w:t>
            </w:r>
          </w:p>
          <w:p w14:paraId="3432FD5D" w14:textId="77777777" w:rsidR="00DE225B" w:rsidRPr="004B0B08" w:rsidRDefault="00DE225B">
            <w:pPr>
              <w:rPr>
                <w:rFonts w:cstheme="minorHAnsi"/>
              </w:rPr>
            </w:pPr>
          </w:p>
        </w:tc>
      </w:tr>
      <w:tr w:rsidR="00DE225B" w:rsidRPr="004B0B08" w14:paraId="21A4052F" w14:textId="77777777" w:rsidTr="00DE225B">
        <w:tc>
          <w:tcPr>
            <w:tcW w:w="771" w:type="dxa"/>
          </w:tcPr>
          <w:p w14:paraId="68DBDB19" w14:textId="367076DB" w:rsidR="00DE225B" w:rsidRPr="004B0B08" w:rsidRDefault="00DE225B">
            <w:pPr>
              <w:rPr>
                <w:rFonts w:cstheme="minorHAnsi"/>
              </w:rPr>
            </w:pPr>
            <w:r w:rsidRPr="004B0B08">
              <w:rPr>
                <w:rFonts w:cstheme="minorHAnsi"/>
              </w:rPr>
              <w:lastRenderedPageBreak/>
              <w:t>6</w:t>
            </w:r>
          </w:p>
        </w:tc>
        <w:tc>
          <w:tcPr>
            <w:tcW w:w="9147" w:type="dxa"/>
          </w:tcPr>
          <w:p w14:paraId="634C8CF8" w14:textId="77777777" w:rsidR="00DE225B" w:rsidRPr="004B0B08" w:rsidRDefault="00DE225B" w:rsidP="00F81553">
            <w:pPr>
              <w:rPr>
                <w:rFonts w:cstheme="minorHAnsi"/>
              </w:rPr>
            </w:pPr>
            <w:r w:rsidRPr="004B0B08">
              <w:rPr>
                <w:rFonts w:cstheme="minorHAnsi"/>
              </w:rPr>
              <w:t>At HSBC, our Structured Products team is dedicated to supporting you and your practice. We’re available to answer any questions you may have about our offerings, and we provide a host of client-approved marketing materials on our website hsbcnet.com/uswealth.</w:t>
            </w:r>
          </w:p>
          <w:p w14:paraId="55713B1A" w14:textId="77777777" w:rsidR="00DE225B" w:rsidRPr="004B0B08" w:rsidRDefault="00DE225B">
            <w:pPr>
              <w:rPr>
                <w:rFonts w:cstheme="minorHAnsi"/>
              </w:rPr>
            </w:pPr>
          </w:p>
        </w:tc>
      </w:tr>
      <w:tr w:rsidR="00DE225B" w:rsidRPr="004B0B08" w14:paraId="59F82609" w14:textId="77777777" w:rsidTr="00DE225B">
        <w:tc>
          <w:tcPr>
            <w:tcW w:w="771" w:type="dxa"/>
          </w:tcPr>
          <w:p w14:paraId="2C679732" w14:textId="445DE4FB" w:rsidR="00DE225B" w:rsidRPr="004B0B08" w:rsidRDefault="00DE225B">
            <w:pPr>
              <w:rPr>
                <w:rFonts w:cstheme="minorHAnsi"/>
              </w:rPr>
            </w:pPr>
            <w:r w:rsidRPr="004B0B08">
              <w:rPr>
                <w:rFonts w:cstheme="minorHAnsi"/>
              </w:rPr>
              <w:t>7</w:t>
            </w:r>
          </w:p>
        </w:tc>
        <w:tc>
          <w:tcPr>
            <w:tcW w:w="9147" w:type="dxa"/>
          </w:tcPr>
          <w:p w14:paraId="1D2018B5" w14:textId="75CC1CC3" w:rsidR="00DE225B" w:rsidRPr="004B0B08" w:rsidRDefault="00DE225B">
            <w:pPr>
              <w:rPr>
                <w:rFonts w:cstheme="minorHAnsi"/>
              </w:rPr>
            </w:pPr>
            <w:r w:rsidRPr="004B0B08">
              <w:rPr>
                <w:rFonts w:cstheme="minorHAnsi"/>
              </w:rPr>
              <w:t xml:space="preserve">So if you have clients who </w:t>
            </w:r>
            <w:r w:rsidRPr="004B0B08">
              <w:t>are looking to take some downside risk off the table while remaining invested in the markets…</w:t>
            </w:r>
            <w:r w:rsidRPr="004B0B08">
              <w:rPr>
                <w:rFonts w:cstheme="minorHAnsi"/>
              </w:rPr>
              <w:t>HSBC’s Protected Growth investments may be the appropriate call over traditional solutions.</w:t>
            </w:r>
          </w:p>
        </w:tc>
      </w:tr>
      <w:tr w:rsidR="00DE225B" w14:paraId="377A5D21" w14:textId="77777777" w:rsidTr="00DE225B">
        <w:tc>
          <w:tcPr>
            <w:tcW w:w="771" w:type="dxa"/>
          </w:tcPr>
          <w:p w14:paraId="1FD80B73" w14:textId="7EE9E98B" w:rsidR="00DE225B" w:rsidRPr="004B0B08" w:rsidRDefault="00DE225B">
            <w:pPr>
              <w:rPr>
                <w:rFonts w:cstheme="minorHAnsi"/>
              </w:rPr>
            </w:pPr>
            <w:r w:rsidRPr="004B0B08">
              <w:rPr>
                <w:rFonts w:cstheme="minorHAnsi"/>
              </w:rPr>
              <w:t>8</w:t>
            </w:r>
          </w:p>
        </w:tc>
        <w:tc>
          <w:tcPr>
            <w:tcW w:w="9147" w:type="dxa"/>
          </w:tcPr>
          <w:p w14:paraId="7ADBA05A" w14:textId="4B56EDE7" w:rsidR="00DE225B" w:rsidRPr="004B0B08" w:rsidRDefault="00DE225B" w:rsidP="00066484">
            <w:pPr>
              <w:rPr>
                <w:rFonts w:cstheme="minorHAnsi"/>
              </w:rPr>
            </w:pPr>
            <w:r w:rsidRPr="004B0B08">
              <w:rPr>
                <w:rFonts w:cstheme="minorHAnsi"/>
              </w:rPr>
              <w:t xml:space="preserve">So enable </w:t>
            </w:r>
            <w:r w:rsidR="00645B72" w:rsidRPr="004B0B08">
              <w:rPr>
                <w:rFonts w:cstheme="minorHAnsi"/>
              </w:rPr>
              <w:t xml:space="preserve">So help </w:t>
            </w:r>
            <w:r w:rsidRPr="004B0B08">
              <w:rPr>
                <w:rFonts w:cstheme="minorHAnsi"/>
              </w:rPr>
              <w:t xml:space="preserve">your clients </w:t>
            </w:r>
            <w:r w:rsidRPr="004B0B08">
              <w:rPr>
                <w:rFonts w:cstheme="minorHAnsi"/>
                <w:b/>
                <w:u w:val="single"/>
              </w:rPr>
              <w:t>manage risk</w:t>
            </w:r>
            <w:r w:rsidRPr="004B0B08">
              <w:rPr>
                <w:rFonts w:cstheme="minorHAnsi"/>
              </w:rPr>
              <w:t xml:space="preserve"> and </w:t>
            </w:r>
            <w:r w:rsidRPr="004B0B08">
              <w:rPr>
                <w:rFonts w:cstheme="minorHAnsi"/>
                <w:b/>
                <w:u w:val="single"/>
              </w:rPr>
              <w:t>stay invested</w:t>
            </w:r>
            <w:r w:rsidRPr="004B0B08">
              <w:rPr>
                <w:rFonts w:cstheme="minorHAnsi"/>
              </w:rPr>
              <w:t xml:space="preserve"> with HSBC’s Buffered Notes. </w:t>
            </w:r>
          </w:p>
          <w:p w14:paraId="56A38811" w14:textId="77777777" w:rsidR="00DE225B" w:rsidRPr="004B0B08" w:rsidRDefault="00DE225B" w:rsidP="00066484">
            <w:pPr>
              <w:ind w:left="65"/>
              <w:rPr>
                <w:rFonts w:cstheme="minorHAnsi"/>
              </w:rPr>
            </w:pPr>
          </w:p>
          <w:p w14:paraId="5AA7D941" w14:textId="77777777" w:rsidR="00DE225B" w:rsidRPr="004B0B08" w:rsidRDefault="00DE225B" w:rsidP="00066484">
            <w:pPr>
              <w:ind w:left="65"/>
              <w:rPr>
                <w:rFonts w:cstheme="minorHAnsi"/>
              </w:rPr>
            </w:pPr>
            <w:r w:rsidRPr="004B0B08">
              <w:rPr>
                <w:rFonts w:cstheme="minorHAnsi"/>
              </w:rPr>
              <w:t xml:space="preserve">Please check out your monthly HSBC Structured Investments offerings today and take advantage of our webinars and resources on our website that will give you the support you need. </w:t>
            </w:r>
          </w:p>
          <w:p w14:paraId="74466DB9" w14:textId="77777777" w:rsidR="00DE225B" w:rsidRPr="004B0B08" w:rsidRDefault="00DE225B" w:rsidP="00066484">
            <w:pPr>
              <w:ind w:left="65"/>
              <w:rPr>
                <w:rFonts w:cstheme="minorHAnsi"/>
              </w:rPr>
            </w:pPr>
          </w:p>
          <w:p w14:paraId="3E3C0EFF" w14:textId="4CEC4D9D" w:rsidR="00DE225B" w:rsidRDefault="00DE225B" w:rsidP="00066484">
            <w:pPr>
              <w:rPr>
                <w:rFonts w:cstheme="minorHAnsi"/>
              </w:rPr>
            </w:pPr>
            <w:r w:rsidRPr="004B0B08">
              <w:rPr>
                <w:rFonts w:cstheme="minorHAnsi"/>
              </w:rPr>
              <w:t>Thank you, and we look forward to working with you!</w:t>
            </w:r>
          </w:p>
        </w:tc>
      </w:tr>
    </w:tbl>
    <w:p w14:paraId="78CA4DF8" w14:textId="7E3FDAF1" w:rsidR="00BB6E98" w:rsidRPr="00FC498A" w:rsidRDefault="00BB6E98" w:rsidP="00DE225B">
      <w:pPr>
        <w:rPr>
          <w:rFonts w:cstheme="minorHAnsi"/>
        </w:rPr>
      </w:pPr>
    </w:p>
    <w:sectPr w:rsidR="00BB6E98" w:rsidRPr="00FC498A" w:rsidSect="00145B0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E429E5" w14:textId="77777777" w:rsidR="007A2DE4" w:rsidRDefault="007A2DE4" w:rsidP="00A44632">
      <w:pPr>
        <w:spacing w:after="0" w:line="240" w:lineRule="auto"/>
      </w:pPr>
      <w:r>
        <w:separator/>
      </w:r>
    </w:p>
  </w:endnote>
  <w:endnote w:type="continuationSeparator" w:id="0">
    <w:p w14:paraId="4252933A" w14:textId="77777777" w:rsidR="007A2DE4" w:rsidRDefault="007A2DE4" w:rsidP="00A44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78C14" w14:textId="77777777" w:rsidR="005B758F" w:rsidRDefault="005B758F">
    <w:pPr>
      <w:pStyle w:val="Footer"/>
    </w:pPr>
    <w:r>
      <w:t>PUBLIC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1E0B2" w14:textId="77777777" w:rsidR="005B758F" w:rsidRDefault="005B758F">
    <w:pPr>
      <w:pStyle w:val="Footer"/>
    </w:pPr>
    <w: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8A2FA" w14:textId="77777777" w:rsidR="005B758F" w:rsidRDefault="005B758F">
    <w:pPr>
      <w:pStyle w:val="Footer"/>
    </w:pPr>
    <w: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32E8E" w14:textId="77777777" w:rsidR="007A2DE4" w:rsidRDefault="007A2DE4" w:rsidP="00A44632">
      <w:pPr>
        <w:spacing w:after="0" w:line="240" w:lineRule="auto"/>
      </w:pPr>
      <w:r>
        <w:separator/>
      </w:r>
    </w:p>
  </w:footnote>
  <w:footnote w:type="continuationSeparator" w:id="0">
    <w:p w14:paraId="7B6CA19F" w14:textId="77777777" w:rsidR="007A2DE4" w:rsidRDefault="007A2DE4" w:rsidP="00A446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C87EF" w14:textId="77777777" w:rsidR="005B758F" w:rsidRDefault="005B75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521755"/>
      <w:docPartObj>
        <w:docPartGallery w:val="Page Numbers (Top of Page)"/>
        <w:docPartUnique/>
      </w:docPartObj>
    </w:sdtPr>
    <w:sdtEndPr>
      <w:rPr>
        <w:noProof/>
      </w:rPr>
    </w:sdtEndPr>
    <w:sdtContent>
      <w:p w14:paraId="12C83B29" w14:textId="77777777" w:rsidR="005B758F" w:rsidRDefault="005B758F">
        <w:pPr>
          <w:pStyle w:val="Header"/>
          <w:jc w:val="right"/>
        </w:pPr>
        <w:r>
          <w:fldChar w:fldCharType="begin"/>
        </w:r>
        <w:r>
          <w:instrText xml:space="preserve"> PAGE   \* MERGEFORMAT </w:instrText>
        </w:r>
        <w:r>
          <w:fldChar w:fldCharType="separate"/>
        </w:r>
        <w:r w:rsidR="00295CE3">
          <w:rPr>
            <w:noProof/>
          </w:rPr>
          <w:t>2</w:t>
        </w:r>
        <w:r>
          <w:rPr>
            <w:noProof/>
          </w:rPr>
          <w:fldChar w:fldCharType="end"/>
        </w:r>
      </w:p>
    </w:sdtContent>
  </w:sdt>
  <w:p w14:paraId="269249B2" w14:textId="77777777" w:rsidR="005B758F" w:rsidRDefault="005B75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7754F" w14:textId="77777777" w:rsidR="005B758F" w:rsidRDefault="005B75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E174C"/>
    <w:multiLevelType w:val="hybridMultilevel"/>
    <w:tmpl w:val="9758A8D0"/>
    <w:lvl w:ilvl="0" w:tplc="3B86E3C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8789D"/>
    <w:multiLevelType w:val="hybridMultilevel"/>
    <w:tmpl w:val="CD9C7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65445"/>
    <w:multiLevelType w:val="hybridMultilevel"/>
    <w:tmpl w:val="862CA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50FC4"/>
    <w:multiLevelType w:val="hybridMultilevel"/>
    <w:tmpl w:val="30A6B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33130"/>
    <w:multiLevelType w:val="hybridMultilevel"/>
    <w:tmpl w:val="956E31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66386F"/>
    <w:multiLevelType w:val="hybridMultilevel"/>
    <w:tmpl w:val="643A762E"/>
    <w:lvl w:ilvl="0" w:tplc="AF003BC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1E4411"/>
    <w:multiLevelType w:val="hybridMultilevel"/>
    <w:tmpl w:val="E1041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4C40AE"/>
    <w:multiLevelType w:val="hybridMultilevel"/>
    <w:tmpl w:val="3DE49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D4E37"/>
    <w:multiLevelType w:val="hybridMultilevel"/>
    <w:tmpl w:val="B0229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9850D0"/>
    <w:multiLevelType w:val="hybridMultilevel"/>
    <w:tmpl w:val="15B65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13651A"/>
    <w:multiLevelType w:val="hybridMultilevel"/>
    <w:tmpl w:val="C0725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246232"/>
    <w:multiLevelType w:val="hybridMultilevel"/>
    <w:tmpl w:val="FCAAAC3E"/>
    <w:lvl w:ilvl="0" w:tplc="3DA68A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4C71FE"/>
    <w:multiLevelType w:val="hybridMultilevel"/>
    <w:tmpl w:val="C06EEE3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D581020"/>
    <w:multiLevelType w:val="hybridMultilevel"/>
    <w:tmpl w:val="BB22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795680"/>
    <w:multiLevelType w:val="hybridMultilevel"/>
    <w:tmpl w:val="8252F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11332B"/>
    <w:multiLevelType w:val="hybridMultilevel"/>
    <w:tmpl w:val="EB70C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5D087F"/>
    <w:multiLevelType w:val="hybridMultilevel"/>
    <w:tmpl w:val="563E025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4AD75979"/>
    <w:multiLevelType w:val="hybridMultilevel"/>
    <w:tmpl w:val="7C96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5A2A1F"/>
    <w:multiLevelType w:val="hybridMultilevel"/>
    <w:tmpl w:val="63A07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A92789"/>
    <w:multiLevelType w:val="hybridMultilevel"/>
    <w:tmpl w:val="B8309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DA132D"/>
    <w:multiLevelType w:val="hybridMultilevel"/>
    <w:tmpl w:val="D35AA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FD62E6"/>
    <w:multiLevelType w:val="hybridMultilevel"/>
    <w:tmpl w:val="BEA677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251D10"/>
    <w:multiLevelType w:val="hybridMultilevel"/>
    <w:tmpl w:val="9AC61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710EDC"/>
    <w:multiLevelType w:val="hybridMultilevel"/>
    <w:tmpl w:val="A61AC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6669FC"/>
    <w:multiLevelType w:val="hybridMultilevel"/>
    <w:tmpl w:val="84DC8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8C1AFF"/>
    <w:multiLevelType w:val="hybridMultilevel"/>
    <w:tmpl w:val="AC5AA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C84CA3"/>
    <w:multiLevelType w:val="hybridMultilevel"/>
    <w:tmpl w:val="B0682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1C2411"/>
    <w:multiLevelType w:val="hybridMultilevel"/>
    <w:tmpl w:val="CE4CF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127350"/>
    <w:multiLevelType w:val="hybridMultilevel"/>
    <w:tmpl w:val="1D6C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2B1B08"/>
    <w:multiLevelType w:val="hybridMultilevel"/>
    <w:tmpl w:val="76A03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23D56D5"/>
    <w:multiLevelType w:val="hybridMultilevel"/>
    <w:tmpl w:val="E2A8FF10"/>
    <w:lvl w:ilvl="0" w:tplc="3B86E3CC">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5DB33D4"/>
    <w:multiLevelType w:val="hybridMultilevel"/>
    <w:tmpl w:val="0DDCFEFC"/>
    <w:lvl w:ilvl="0" w:tplc="AF003BC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0D3132"/>
    <w:multiLevelType w:val="hybridMultilevel"/>
    <w:tmpl w:val="0D66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BA4721"/>
    <w:multiLevelType w:val="hybridMultilevel"/>
    <w:tmpl w:val="06A42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E55562"/>
    <w:multiLevelType w:val="hybridMultilevel"/>
    <w:tmpl w:val="D708E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85311"/>
    <w:multiLevelType w:val="hybridMultilevel"/>
    <w:tmpl w:val="68B0AE50"/>
    <w:lvl w:ilvl="0" w:tplc="AF003BC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5234A9"/>
    <w:multiLevelType w:val="hybridMultilevel"/>
    <w:tmpl w:val="068A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32"/>
  </w:num>
  <w:num w:numId="4">
    <w:abstractNumId w:val="7"/>
  </w:num>
  <w:num w:numId="5">
    <w:abstractNumId w:val="16"/>
  </w:num>
  <w:num w:numId="6">
    <w:abstractNumId w:val="33"/>
  </w:num>
  <w:num w:numId="7">
    <w:abstractNumId w:val="19"/>
  </w:num>
  <w:num w:numId="8">
    <w:abstractNumId w:val="3"/>
  </w:num>
  <w:num w:numId="9">
    <w:abstractNumId w:val="13"/>
  </w:num>
  <w:num w:numId="10">
    <w:abstractNumId w:val="27"/>
  </w:num>
  <w:num w:numId="11">
    <w:abstractNumId w:val="29"/>
  </w:num>
  <w:num w:numId="12">
    <w:abstractNumId w:val="12"/>
  </w:num>
  <w:num w:numId="13">
    <w:abstractNumId w:val="21"/>
  </w:num>
  <w:num w:numId="14">
    <w:abstractNumId w:val="4"/>
  </w:num>
  <w:num w:numId="15">
    <w:abstractNumId w:val="34"/>
  </w:num>
  <w:num w:numId="16">
    <w:abstractNumId w:val="6"/>
  </w:num>
  <w:num w:numId="17">
    <w:abstractNumId w:val="22"/>
  </w:num>
  <w:num w:numId="18">
    <w:abstractNumId w:val="23"/>
  </w:num>
  <w:num w:numId="19">
    <w:abstractNumId w:val="9"/>
  </w:num>
  <w:num w:numId="20">
    <w:abstractNumId w:val="26"/>
  </w:num>
  <w:num w:numId="21">
    <w:abstractNumId w:val="10"/>
  </w:num>
  <w:num w:numId="22">
    <w:abstractNumId w:val="14"/>
  </w:num>
  <w:num w:numId="23">
    <w:abstractNumId w:val="35"/>
  </w:num>
  <w:num w:numId="24">
    <w:abstractNumId w:val="5"/>
  </w:num>
  <w:num w:numId="25">
    <w:abstractNumId w:val="31"/>
  </w:num>
  <w:num w:numId="26">
    <w:abstractNumId w:val="0"/>
  </w:num>
  <w:num w:numId="27">
    <w:abstractNumId w:val="30"/>
  </w:num>
  <w:num w:numId="28">
    <w:abstractNumId w:val="1"/>
  </w:num>
  <w:num w:numId="29">
    <w:abstractNumId w:val="2"/>
  </w:num>
  <w:num w:numId="30">
    <w:abstractNumId w:val="28"/>
  </w:num>
  <w:num w:numId="31">
    <w:abstractNumId w:val="11"/>
  </w:num>
  <w:num w:numId="32">
    <w:abstractNumId w:val="36"/>
  </w:num>
  <w:num w:numId="33">
    <w:abstractNumId w:val="24"/>
  </w:num>
  <w:num w:numId="34">
    <w:abstractNumId w:val="25"/>
  </w:num>
  <w:num w:numId="35">
    <w:abstractNumId w:val="15"/>
  </w:num>
  <w:num w:numId="36">
    <w:abstractNumId w:val="20"/>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94E"/>
    <w:rsid w:val="000008C6"/>
    <w:rsid w:val="00005E56"/>
    <w:rsid w:val="00010C4E"/>
    <w:rsid w:val="00011BAC"/>
    <w:rsid w:val="00012445"/>
    <w:rsid w:val="000147C4"/>
    <w:rsid w:val="0001697D"/>
    <w:rsid w:val="000170CE"/>
    <w:rsid w:val="00022604"/>
    <w:rsid w:val="000260D2"/>
    <w:rsid w:val="00043CFD"/>
    <w:rsid w:val="00046043"/>
    <w:rsid w:val="0004667B"/>
    <w:rsid w:val="000469DC"/>
    <w:rsid w:val="0005013A"/>
    <w:rsid w:val="0005145E"/>
    <w:rsid w:val="00052CBE"/>
    <w:rsid w:val="00057444"/>
    <w:rsid w:val="00061CCA"/>
    <w:rsid w:val="00061E26"/>
    <w:rsid w:val="00063883"/>
    <w:rsid w:val="000647D6"/>
    <w:rsid w:val="000649E3"/>
    <w:rsid w:val="00065B03"/>
    <w:rsid w:val="00066484"/>
    <w:rsid w:val="00067506"/>
    <w:rsid w:val="000740D5"/>
    <w:rsid w:val="000770B8"/>
    <w:rsid w:val="000802A2"/>
    <w:rsid w:val="000826C0"/>
    <w:rsid w:val="00082DB8"/>
    <w:rsid w:val="00083034"/>
    <w:rsid w:val="00083C63"/>
    <w:rsid w:val="0008437C"/>
    <w:rsid w:val="00090666"/>
    <w:rsid w:val="00090C91"/>
    <w:rsid w:val="0009271A"/>
    <w:rsid w:val="00096F48"/>
    <w:rsid w:val="000A0D26"/>
    <w:rsid w:val="000A21A1"/>
    <w:rsid w:val="000A519C"/>
    <w:rsid w:val="000A5398"/>
    <w:rsid w:val="000A65A4"/>
    <w:rsid w:val="000B0548"/>
    <w:rsid w:val="000B307A"/>
    <w:rsid w:val="000B3C87"/>
    <w:rsid w:val="000B417C"/>
    <w:rsid w:val="000B42E7"/>
    <w:rsid w:val="000B43D6"/>
    <w:rsid w:val="000B4E6C"/>
    <w:rsid w:val="000C0382"/>
    <w:rsid w:val="000C1DCA"/>
    <w:rsid w:val="000C268D"/>
    <w:rsid w:val="000C3E6C"/>
    <w:rsid w:val="000C52F7"/>
    <w:rsid w:val="000C556B"/>
    <w:rsid w:val="000C6196"/>
    <w:rsid w:val="000C624A"/>
    <w:rsid w:val="000C6943"/>
    <w:rsid w:val="000C731F"/>
    <w:rsid w:val="000C74B2"/>
    <w:rsid w:val="000D01EE"/>
    <w:rsid w:val="000D0B3F"/>
    <w:rsid w:val="000D0FE8"/>
    <w:rsid w:val="000D0FF2"/>
    <w:rsid w:val="000D5E88"/>
    <w:rsid w:val="000D65B0"/>
    <w:rsid w:val="000D75F1"/>
    <w:rsid w:val="000D7A7B"/>
    <w:rsid w:val="000E3ABF"/>
    <w:rsid w:val="000E4661"/>
    <w:rsid w:val="000E7185"/>
    <w:rsid w:val="000E7D52"/>
    <w:rsid w:val="000F1855"/>
    <w:rsid w:val="000F615A"/>
    <w:rsid w:val="000F76D1"/>
    <w:rsid w:val="00103659"/>
    <w:rsid w:val="00103BBF"/>
    <w:rsid w:val="00105CB2"/>
    <w:rsid w:val="00106FC5"/>
    <w:rsid w:val="001127BA"/>
    <w:rsid w:val="0011452D"/>
    <w:rsid w:val="001173AD"/>
    <w:rsid w:val="00117FDC"/>
    <w:rsid w:val="00120AF1"/>
    <w:rsid w:val="00120D83"/>
    <w:rsid w:val="0012254D"/>
    <w:rsid w:val="00137168"/>
    <w:rsid w:val="001429A3"/>
    <w:rsid w:val="00142F2B"/>
    <w:rsid w:val="00145B07"/>
    <w:rsid w:val="001479DB"/>
    <w:rsid w:val="00152D81"/>
    <w:rsid w:val="001537E3"/>
    <w:rsid w:val="0015403B"/>
    <w:rsid w:val="001562D9"/>
    <w:rsid w:val="00156C4F"/>
    <w:rsid w:val="00157011"/>
    <w:rsid w:val="00160EE0"/>
    <w:rsid w:val="00165AE7"/>
    <w:rsid w:val="00165B1D"/>
    <w:rsid w:val="00171BF0"/>
    <w:rsid w:val="001725E3"/>
    <w:rsid w:val="001749C8"/>
    <w:rsid w:val="00176199"/>
    <w:rsid w:val="00180A84"/>
    <w:rsid w:val="001816AC"/>
    <w:rsid w:val="001828D6"/>
    <w:rsid w:val="0018444E"/>
    <w:rsid w:val="00184F35"/>
    <w:rsid w:val="001873E9"/>
    <w:rsid w:val="001879B7"/>
    <w:rsid w:val="00194A94"/>
    <w:rsid w:val="0019564A"/>
    <w:rsid w:val="001958A8"/>
    <w:rsid w:val="00197AFF"/>
    <w:rsid w:val="001A217E"/>
    <w:rsid w:val="001A4315"/>
    <w:rsid w:val="001A487B"/>
    <w:rsid w:val="001A4A4B"/>
    <w:rsid w:val="001A7C6E"/>
    <w:rsid w:val="001B26BA"/>
    <w:rsid w:val="001B4805"/>
    <w:rsid w:val="001B50A4"/>
    <w:rsid w:val="001B51F8"/>
    <w:rsid w:val="001B600E"/>
    <w:rsid w:val="001B6D1C"/>
    <w:rsid w:val="001C12E1"/>
    <w:rsid w:val="001C4A85"/>
    <w:rsid w:val="001C518D"/>
    <w:rsid w:val="001C7364"/>
    <w:rsid w:val="001D04E9"/>
    <w:rsid w:val="001D595A"/>
    <w:rsid w:val="001D728F"/>
    <w:rsid w:val="001E223A"/>
    <w:rsid w:val="001E2852"/>
    <w:rsid w:val="001F3C09"/>
    <w:rsid w:val="0020573E"/>
    <w:rsid w:val="00205CE8"/>
    <w:rsid w:val="00210B8A"/>
    <w:rsid w:val="00211C8F"/>
    <w:rsid w:val="00212B69"/>
    <w:rsid w:val="00213FD2"/>
    <w:rsid w:val="002147D2"/>
    <w:rsid w:val="0022145C"/>
    <w:rsid w:val="002228F9"/>
    <w:rsid w:val="00222A60"/>
    <w:rsid w:val="00234652"/>
    <w:rsid w:val="00235E4E"/>
    <w:rsid w:val="00237026"/>
    <w:rsid w:val="0024019A"/>
    <w:rsid w:val="00242B15"/>
    <w:rsid w:val="00245E16"/>
    <w:rsid w:val="00250F4F"/>
    <w:rsid w:val="002524B3"/>
    <w:rsid w:val="00253BF7"/>
    <w:rsid w:val="00254F29"/>
    <w:rsid w:val="002555CC"/>
    <w:rsid w:val="00256908"/>
    <w:rsid w:val="00260D4D"/>
    <w:rsid w:val="00265C5C"/>
    <w:rsid w:val="00267110"/>
    <w:rsid w:val="00270095"/>
    <w:rsid w:val="0027029C"/>
    <w:rsid w:val="00274A76"/>
    <w:rsid w:val="00276A9B"/>
    <w:rsid w:val="0028033A"/>
    <w:rsid w:val="00280AFB"/>
    <w:rsid w:val="00284367"/>
    <w:rsid w:val="002849B6"/>
    <w:rsid w:val="00285022"/>
    <w:rsid w:val="00287C69"/>
    <w:rsid w:val="002901D7"/>
    <w:rsid w:val="00291B73"/>
    <w:rsid w:val="002924F9"/>
    <w:rsid w:val="0029411F"/>
    <w:rsid w:val="00295CE3"/>
    <w:rsid w:val="00297756"/>
    <w:rsid w:val="002A0373"/>
    <w:rsid w:val="002A0F79"/>
    <w:rsid w:val="002A23A5"/>
    <w:rsid w:val="002A380B"/>
    <w:rsid w:val="002B1D16"/>
    <w:rsid w:val="002B4336"/>
    <w:rsid w:val="002B63EA"/>
    <w:rsid w:val="002B74FC"/>
    <w:rsid w:val="002B7726"/>
    <w:rsid w:val="002C221F"/>
    <w:rsid w:val="002C3FDD"/>
    <w:rsid w:val="002C4EE9"/>
    <w:rsid w:val="002C7C6B"/>
    <w:rsid w:val="002D5874"/>
    <w:rsid w:val="002D6541"/>
    <w:rsid w:val="002E0C9C"/>
    <w:rsid w:val="002E4199"/>
    <w:rsid w:val="002E4EC6"/>
    <w:rsid w:val="002E5D47"/>
    <w:rsid w:val="002E60B8"/>
    <w:rsid w:val="002F230A"/>
    <w:rsid w:val="002F74C8"/>
    <w:rsid w:val="00302214"/>
    <w:rsid w:val="003052B1"/>
    <w:rsid w:val="00307234"/>
    <w:rsid w:val="0030779E"/>
    <w:rsid w:val="003140B5"/>
    <w:rsid w:val="003144F5"/>
    <w:rsid w:val="003152E0"/>
    <w:rsid w:val="00315439"/>
    <w:rsid w:val="0031682B"/>
    <w:rsid w:val="00320FE5"/>
    <w:rsid w:val="0032305C"/>
    <w:rsid w:val="0032372A"/>
    <w:rsid w:val="0032504A"/>
    <w:rsid w:val="003261CC"/>
    <w:rsid w:val="00331F42"/>
    <w:rsid w:val="003333EB"/>
    <w:rsid w:val="00336F96"/>
    <w:rsid w:val="0034216F"/>
    <w:rsid w:val="00342491"/>
    <w:rsid w:val="00344D7A"/>
    <w:rsid w:val="0034547A"/>
    <w:rsid w:val="00345A74"/>
    <w:rsid w:val="00346509"/>
    <w:rsid w:val="0035114F"/>
    <w:rsid w:val="00360017"/>
    <w:rsid w:val="0036341E"/>
    <w:rsid w:val="003701D7"/>
    <w:rsid w:val="00370918"/>
    <w:rsid w:val="003719B8"/>
    <w:rsid w:val="00371AC2"/>
    <w:rsid w:val="003734E8"/>
    <w:rsid w:val="003751C9"/>
    <w:rsid w:val="0038758A"/>
    <w:rsid w:val="003918E8"/>
    <w:rsid w:val="00391F9A"/>
    <w:rsid w:val="003A1D44"/>
    <w:rsid w:val="003A592A"/>
    <w:rsid w:val="003A6662"/>
    <w:rsid w:val="003B1802"/>
    <w:rsid w:val="003B2A22"/>
    <w:rsid w:val="003B4379"/>
    <w:rsid w:val="003B6154"/>
    <w:rsid w:val="003B777C"/>
    <w:rsid w:val="003D39E7"/>
    <w:rsid w:val="003D484D"/>
    <w:rsid w:val="003D4BD9"/>
    <w:rsid w:val="003E0485"/>
    <w:rsid w:val="003E7DE5"/>
    <w:rsid w:val="003F17CA"/>
    <w:rsid w:val="003F1F47"/>
    <w:rsid w:val="003F27AF"/>
    <w:rsid w:val="003F28AD"/>
    <w:rsid w:val="0041074B"/>
    <w:rsid w:val="00414451"/>
    <w:rsid w:val="004167A7"/>
    <w:rsid w:val="004173A3"/>
    <w:rsid w:val="00420E5A"/>
    <w:rsid w:val="00422078"/>
    <w:rsid w:val="00424380"/>
    <w:rsid w:val="00424BE5"/>
    <w:rsid w:val="00427463"/>
    <w:rsid w:val="00427CC7"/>
    <w:rsid w:val="004302D5"/>
    <w:rsid w:val="00431926"/>
    <w:rsid w:val="004412BA"/>
    <w:rsid w:val="004416DD"/>
    <w:rsid w:val="00444900"/>
    <w:rsid w:val="00444B67"/>
    <w:rsid w:val="00446C27"/>
    <w:rsid w:val="00447420"/>
    <w:rsid w:val="00453837"/>
    <w:rsid w:val="004541B7"/>
    <w:rsid w:val="00457864"/>
    <w:rsid w:val="00464208"/>
    <w:rsid w:val="00465548"/>
    <w:rsid w:val="00465759"/>
    <w:rsid w:val="00465AA0"/>
    <w:rsid w:val="00466A3C"/>
    <w:rsid w:val="004711D4"/>
    <w:rsid w:val="00474208"/>
    <w:rsid w:val="004752E5"/>
    <w:rsid w:val="004772B2"/>
    <w:rsid w:val="00477907"/>
    <w:rsid w:val="00484730"/>
    <w:rsid w:val="0048668A"/>
    <w:rsid w:val="00490474"/>
    <w:rsid w:val="00492045"/>
    <w:rsid w:val="00492D10"/>
    <w:rsid w:val="004965CB"/>
    <w:rsid w:val="004A017C"/>
    <w:rsid w:val="004A7B22"/>
    <w:rsid w:val="004B0B08"/>
    <w:rsid w:val="004B1A0D"/>
    <w:rsid w:val="004B58C0"/>
    <w:rsid w:val="004C1C68"/>
    <w:rsid w:val="004C5A24"/>
    <w:rsid w:val="004C5ADB"/>
    <w:rsid w:val="004C79B5"/>
    <w:rsid w:val="004D1281"/>
    <w:rsid w:val="004D15DD"/>
    <w:rsid w:val="004D1EBD"/>
    <w:rsid w:val="004D39C3"/>
    <w:rsid w:val="004D58A9"/>
    <w:rsid w:val="004D5E7D"/>
    <w:rsid w:val="004D6B89"/>
    <w:rsid w:val="004D7295"/>
    <w:rsid w:val="004E31CE"/>
    <w:rsid w:val="004F3A37"/>
    <w:rsid w:val="004F3BB5"/>
    <w:rsid w:val="004F4DF6"/>
    <w:rsid w:val="00501C1C"/>
    <w:rsid w:val="00502B2E"/>
    <w:rsid w:val="00502F2B"/>
    <w:rsid w:val="00506593"/>
    <w:rsid w:val="00506883"/>
    <w:rsid w:val="00506ECE"/>
    <w:rsid w:val="00511218"/>
    <w:rsid w:val="00512267"/>
    <w:rsid w:val="005128AA"/>
    <w:rsid w:val="005132B9"/>
    <w:rsid w:val="00514524"/>
    <w:rsid w:val="00515F00"/>
    <w:rsid w:val="0052035F"/>
    <w:rsid w:val="005208C8"/>
    <w:rsid w:val="0052180F"/>
    <w:rsid w:val="005261AB"/>
    <w:rsid w:val="00531C68"/>
    <w:rsid w:val="00536A1C"/>
    <w:rsid w:val="00537CE1"/>
    <w:rsid w:val="00537E96"/>
    <w:rsid w:val="00541BDF"/>
    <w:rsid w:val="005422BE"/>
    <w:rsid w:val="00544FE2"/>
    <w:rsid w:val="0054630F"/>
    <w:rsid w:val="0054669A"/>
    <w:rsid w:val="00551AFC"/>
    <w:rsid w:val="005526A1"/>
    <w:rsid w:val="00553AEA"/>
    <w:rsid w:val="00561925"/>
    <w:rsid w:val="0056205E"/>
    <w:rsid w:val="0056238D"/>
    <w:rsid w:val="00562D26"/>
    <w:rsid w:val="00563B00"/>
    <w:rsid w:val="00564341"/>
    <w:rsid w:val="00567C4A"/>
    <w:rsid w:val="005714A9"/>
    <w:rsid w:val="005718D2"/>
    <w:rsid w:val="0057259C"/>
    <w:rsid w:val="00574C08"/>
    <w:rsid w:val="0057651A"/>
    <w:rsid w:val="0058016A"/>
    <w:rsid w:val="005805D5"/>
    <w:rsid w:val="005819FF"/>
    <w:rsid w:val="005824B9"/>
    <w:rsid w:val="00585A7D"/>
    <w:rsid w:val="00586706"/>
    <w:rsid w:val="005A1C6A"/>
    <w:rsid w:val="005A28E4"/>
    <w:rsid w:val="005A2BE9"/>
    <w:rsid w:val="005A4000"/>
    <w:rsid w:val="005A4210"/>
    <w:rsid w:val="005A5A04"/>
    <w:rsid w:val="005A62FC"/>
    <w:rsid w:val="005B2A7C"/>
    <w:rsid w:val="005B6428"/>
    <w:rsid w:val="005B758F"/>
    <w:rsid w:val="005C0158"/>
    <w:rsid w:val="005C1F56"/>
    <w:rsid w:val="005C2A72"/>
    <w:rsid w:val="005C3583"/>
    <w:rsid w:val="005C433E"/>
    <w:rsid w:val="005D01D1"/>
    <w:rsid w:val="005D0F76"/>
    <w:rsid w:val="005D2A50"/>
    <w:rsid w:val="005D375D"/>
    <w:rsid w:val="005E0392"/>
    <w:rsid w:val="005E2019"/>
    <w:rsid w:val="005E3096"/>
    <w:rsid w:val="005E5F36"/>
    <w:rsid w:val="005E7CE7"/>
    <w:rsid w:val="005F0652"/>
    <w:rsid w:val="005F0BF2"/>
    <w:rsid w:val="005F1EEB"/>
    <w:rsid w:val="005F3144"/>
    <w:rsid w:val="005F31EA"/>
    <w:rsid w:val="005F39FC"/>
    <w:rsid w:val="005F4194"/>
    <w:rsid w:val="005F6D3E"/>
    <w:rsid w:val="005F70D6"/>
    <w:rsid w:val="006001A4"/>
    <w:rsid w:val="0060345E"/>
    <w:rsid w:val="0060383C"/>
    <w:rsid w:val="0060385C"/>
    <w:rsid w:val="00604FE0"/>
    <w:rsid w:val="00607D53"/>
    <w:rsid w:val="00610156"/>
    <w:rsid w:val="006136E1"/>
    <w:rsid w:val="006156ED"/>
    <w:rsid w:val="00621AFF"/>
    <w:rsid w:val="006220F5"/>
    <w:rsid w:val="006233EE"/>
    <w:rsid w:val="006252CE"/>
    <w:rsid w:val="0062781D"/>
    <w:rsid w:val="0063063D"/>
    <w:rsid w:val="006345C7"/>
    <w:rsid w:val="00636CCA"/>
    <w:rsid w:val="006407CC"/>
    <w:rsid w:val="006442E1"/>
    <w:rsid w:val="00644D12"/>
    <w:rsid w:val="00645B72"/>
    <w:rsid w:val="00650FBA"/>
    <w:rsid w:val="00651D18"/>
    <w:rsid w:val="00652FFF"/>
    <w:rsid w:val="0065784A"/>
    <w:rsid w:val="00662F64"/>
    <w:rsid w:val="00663625"/>
    <w:rsid w:val="00666EB7"/>
    <w:rsid w:val="00667CB2"/>
    <w:rsid w:val="0067035C"/>
    <w:rsid w:val="00670E2B"/>
    <w:rsid w:val="00672405"/>
    <w:rsid w:val="00673541"/>
    <w:rsid w:val="00675A58"/>
    <w:rsid w:val="006776ED"/>
    <w:rsid w:val="00677D9C"/>
    <w:rsid w:val="00682243"/>
    <w:rsid w:val="00683F84"/>
    <w:rsid w:val="00684C6A"/>
    <w:rsid w:val="006867BB"/>
    <w:rsid w:val="0069131A"/>
    <w:rsid w:val="00691AE5"/>
    <w:rsid w:val="00695790"/>
    <w:rsid w:val="006A19DA"/>
    <w:rsid w:val="006A404C"/>
    <w:rsid w:val="006B2ADA"/>
    <w:rsid w:val="006B4C76"/>
    <w:rsid w:val="006C08F9"/>
    <w:rsid w:val="006C0D44"/>
    <w:rsid w:val="006C7EF2"/>
    <w:rsid w:val="006D0271"/>
    <w:rsid w:val="006D0695"/>
    <w:rsid w:val="006D18F2"/>
    <w:rsid w:val="006D26C5"/>
    <w:rsid w:val="006D2E69"/>
    <w:rsid w:val="006D4A77"/>
    <w:rsid w:val="006D73DF"/>
    <w:rsid w:val="006D7B8C"/>
    <w:rsid w:val="006E0114"/>
    <w:rsid w:val="006E0CCB"/>
    <w:rsid w:val="006E1796"/>
    <w:rsid w:val="006E3F9D"/>
    <w:rsid w:val="006E487C"/>
    <w:rsid w:val="006E6131"/>
    <w:rsid w:val="006E641D"/>
    <w:rsid w:val="006F16C3"/>
    <w:rsid w:val="006F2C69"/>
    <w:rsid w:val="006F39E2"/>
    <w:rsid w:val="006F3BFD"/>
    <w:rsid w:val="006F7B29"/>
    <w:rsid w:val="0071084D"/>
    <w:rsid w:val="00710EC2"/>
    <w:rsid w:val="007119B3"/>
    <w:rsid w:val="007156E4"/>
    <w:rsid w:val="007230A8"/>
    <w:rsid w:val="00723676"/>
    <w:rsid w:val="00724350"/>
    <w:rsid w:val="007256FC"/>
    <w:rsid w:val="00730D6A"/>
    <w:rsid w:val="00731060"/>
    <w:rsid w:val="00732FA7"/>
    <w:rsid w:val="00741C71"/>
    <w:rsid w:val="00744001"/>
    <w:rsid w:val="00744302"/>
    <w:rsid w:val="00750C0B"/>
    <w:rsid w:val="00751ECC"/>
    <w:rsid w:val="007538CB"/>
    <w:rsid w:val="007564DE"/>
    <w:rsid w:val="007572C7"/>
    <w:rsid w:val="007573ED"/>
    <w:rsid w:val="00761E09"/>
    <w:rsid w:val="00762720"/>
    <w:rsid w:val="00764047"/>
    <w:rsid w:val="00764435"/>
    <w:rsid w:val="00765CC7"/>
    <w:rsid w:val="007717FB"/>
    <w:rsid w:val="00771949"/>
    <w:rsid w:val="007751EF"/>
    <w:rsid w:val="00777E14"/>
    <w:rsid w:val="00780D9C"/>
    <w:rsid w:val="00781A8A"/>
    <w:rsid w:val="00781CBF"/>
    <w:rsid w:val="00786402"/>
    <w:rsid w:val="00787649"/>
    <w:rsid w:val="00787809"/>
    <w:rsid w:val="00791A98"/>
    <w:rsid w:val="007937E6"/>
    <w:rsid w:val="007A2435"/>
    <w:rsid w:val="007A2DE4"/>
    <w:rsid w:val="007A695E"/>
    <w:rsid w:val="007A790A"/>
    <w:rsid w:val="007B078B"/>
    <w:rsid w:val="007B5D14"/>
    <w:rsid w:val="007B6087"/>
    <w:rsid w:val="007B7623"/>
    <w:rsid w:val="007C0FD9"/>
    <w:rsid w:val="007C18B3"/>
    <w:rsid w:val="007C71D6"/>
    <w:rsid w:val="007D0965"/>
    <w:rsid w:val="007D264D"/>
    <w:rsid w:val="007D414A"/>
    <w:rsid w:val="007D5692"/>
    <w:rsid w:val="007D57F5"/>
    <w:rsid w:val="007E1182"/>
    <w:rsid w:val="007E3A4C"/>
    <w:rsid w:val="007E47F1"/>
    <w:rsid w:val="007F1022"/>
    <w:rsid w:val="007F1FA4"/>
    <w:rsid w:val="007F2837"/>
    <w:rsid w:val="007F33FA"/>
    <w:rsid w:val="007F4299"/>
    <w:rsid w:val="007F6EE0"/>
    <w:rsid w:val="00800AEE"/>
    <w:rsid w:val="00803D9B"/>
    <w:rsid w:val="00804490"/>
    <w:rsid w:val="00807046"/>
    <w:rsid w:val="008127B9"/>
    <w:rsid w:val="00812EA0"/>
    <w:rsid w:val="008218BF"/>
    <w:rsid w:val="00822973"/>
    <w:rsid w:val="00823128"/>
    <w:rsid w:val="0082396E"/>
    <w:rsid w:val="008257C1"/>
    <w:rsid w:val="00825C41"/>
    <w:rsid w:val="00831029"/>
    <w:rsid w:val="008332DE"/>
    <w:rsid w:val="008333B0"/>
    <w:rsid w:val="00833B60"/>
    <w:rsid w:val="0083494E"/>
    <w:rsid w:val="00834F56"/>
    <w:rsid w:val="00835AF5"/>
    <w:rsid w:val="0083793E"/>
    <w:rsid w:val="008421F5"/>
    <w:rsid w:val="0084248E"/>
    <w:rsid w:val="008454AC"/>
    <w:rsid w:val="00853E6F"/>
    <w:rsid w:val="00855BD6"/>
    <w:rsid w:val="00861CD7"/>
    <w:rsid w:val="00866AA2"/>
    <w:rsid w:val="00866C63"/>
    <w:rsid w:val="008678D8"/>
    <w:rsid w:val="008703CA"/>
    <w:rsid w:val="008706D7"/>
    <w:rsid w:val="0087076D"/>
    <w:rsid w:val="00871BD0"/>
    <w:rsid w:val="00871BF1"/>
    <w:rsid w:val="00877F5F"/>
    <w:rsid w:val="008803E1"/>
    <w:rsid w:val="008805AB"/>
    <w:rsid w:val="00880D79"/>
    <w:rsid w:val="008810FB"/>
    <w:rsid w:val="00881353"/>
    <w:rsid w:val="008814CE"/>
    <w:rsid w:val="00882619"/>
    <w:rsid w:val="00882DE7"/>
    <w:rsid w:val="00883F98"/>
    <w:rsid w:val="00887C07"/>
    <w:rsid w:val="008902C5"/>
    <w:rsid w:val="00890DED"/>
    <w:rsid w:val="00896AC1"/>
    <w:rsid w:val="008A0BC8"/>
    <w:rsid w:val="008A24A6"/>
    <w:rsid w:val="008A35EF"/>
    <w:rsid w:val="008A3B76"/>
    <w:rsid w:val="008B0520"/>
    <w:rsid w:val="008B1910"/>
    <w:rsid w:val="008B5916"/>
    <w:rsid w:val="008B7BDD"/>
    <w:rsid w:val="008C0956"/>
    <w:rsid w:val="008C5CD4"/>
    <w:rsid w:val="008C6B45"/>
    <w:rsid w:val="008C7383"/>
    <w:rsid w:val="008D143D"/>
    <w:rsid w:val="008D1BEF"/>
    <w:rsid w:val="008D3189"/>
    <w:rsid w:val="008D466E"/>
    <w:rsid w:val="008D4FE7"/>
    <w:rsid w:val="008D682F"/>
    <w:rsid w:val="008D767F"/>
    <w:rsid w:val="008E25B3"/>
    <w:rsid w:val="008E3D3C"/>
    <w:rsid w:val="008E6CCE"/>
    <w:rsid w:val="008E7573"/>
    <w:rsid w:val="008E7D12"/>
    <w:rsid w:val="008F3B55"/>
    <w:rsid w:val="008F450F"/>
    <w:rsid w:val="008F5967"/>
    <w:rsid w:val="008F6419"/>
    <w:rsid w:val="008F6820"/>
    <w:rsid w:val="008F7B9E"/>
    <w:rsid w:val="00901711"/>
    <w:rsid w:val="0090288C"/>
    <w:rsid w:val="00903321"/>
    <w:rsid w:val="0090406A"/>
    <w:rsid w:val="00906546"/>
    <w:rsid w:val="00906AB8"/>
    <w:rsid w:val="00907112"/>
    <w:rsid w:val="00907E9A"/>
    <w:rsid w:val="00912436"/>
    <w:rsid w:val="00923280"/>
    <w:rsid w:val="00925CD6"/>
    <w:rsid w:val="00933CCE"/>
    <w:rsid w:val="00936A91"/>
    <w:rsid w:val="00940594"/>
    <w:rsid w:val="00944B85"/>
    <w:rsid w:val="009503A2"/>
    <w:rsid w:val="00952BF4"/>
    <w:rsid w:val="00954FA8"/>
    <w:rsid w:val="00962473"/>
    <w:rsid w:val="00962B97"/>
    <w:rsid w:val="00964E6C"/>
    <w:rsid w:val="00971ED3"/>
    <w:rsid w:val="009730D3"/>
    <w:rsid w:val="00977807"/>
    <w:rsid w:val="00981511"/>
    <w:rsid w:val="00986C4E"/>
    <w:rsid w:val="00990925"/>
    <w:rsid w:val="009925CF"/>
    <w:rsid w:val="00995135"/>
    <w:rsid w:val="009A09D5"/>
    <w:rsid w:val="009A0D2E"/>
    <w:rsid w:val="009A0F35"/>
    <w:rsid w:val="009A42EB"/>
    <w:rsid w:val="009A45CB"/>
    <w:rsid w:val="009A4806"/>
    <w:rsid w:val="009B2E55"/>
    <w:rsid w:val="009B4635"/>
    <w:rsid w:val="009B4FB9"/>
    <w:rsid w:val="009B511B"/>
    <w:rsid w:val="009B7AFF"/>
    <w:rsid w:val="009C60B1"/>
    <w:rsid w:val="009D1BC3"/>
    <w:rsid w:val="009D289C"/>
    <w:rsid w:val="009D2D8D"/>
    <w:rsid w:val="009D6C88"/>
    <w:rsid w:val="009E1404"/>
    <w:rsid w:val="009E25FE"/>
    <w:rsid w:val="009E47E0"/>
    <w:rsid w:val="009E568C"/>
    <w:rsid w:val="009E6A04"/>
    <w:rsid w:val="009E7621"/>
    <w:rsid w:val="009E76D1"/>
    <w:rsid w:val="009F088D"/>
    <w:rsid w:val="009F3853"/>
    <w:rsid w:val="00A01255"/>
    <w:rsid w:val="00A029E6"/>
    <w:rsid w:val="00A0377E"/>
    <w:rsid w:val="00A04876"/>
    <w:rsid w:val="00A05915"/>
    <w:rsid w:val="00A0766C"/>
    <w:rsid w:val="00A12C54"/>
    <w:rsid w:val="00A1319D"/>
    <w:rsid w:val="00A13E23"/>
    <w:rsid w:val="00A155A2"/>
    <w:rsid w:val="00A1636B"/>
    <w:rsid w:val="00A17CA9"/>
    <w:rsid w:val="00A26223"/>
    <w:rsid w:val="00A26CE3"/>
    <w:rsid w:val="00A327C5"/>
    <w:rsid w:val="00A327DD"/>
    <w:rsid w:val="00A32B6B"/>
    <w:rsid w:val="00A4227C"/>
    <w:rsid w:val="00A44632"/>
    <w:rsid w:val="00A45B85"/>
    <w:rsid w:val="00A54380"/>
    <w:rsid w:val="00A547BA"/>
    <w:rsid w:val="00A5500D"/>
    <w:rsid w:val="00A5560A"/>
    <w:rsid w:val="00A556F4"/>
    <w:rsid w:val="00A55995"/>
    <w:rsid w:val="00A55B73"/>
    <w:rsid w:val="00A56833"/>
    <w:rsid w:val="00A61BFA"/>
    <w:rsid w:val="00A61C4C"/>
    <w:rsid w:val="00A65077"/>
    <w:rsid w:val="00A6633F"/>
    <w:rsid w:val="00A74612"/>
    <w:rsid w:val="00A758ED"/>
    <w:rsid w:val="00A833B6"/>
    <w:rsid w:val="00A83B3A"/>
    <w:rsid w:val="00A84132"/>
    <w:rsid w:val="00A84A4C"/>
    <w:rsid w:val="00A84FDE"/>
    <w:rsid w:val="00A856CE"/>
    <w:rsid w:val="00A90A35"/>
    <w:rsid w:val="00A921AD"/>
    <w:rsid w:val="00A95943"/>
    <w:rsid w:val="00A95E4D"/>
    <w:rsid w:val="00AA0C8F"/>
    <w:rsid w:val="00AA0DB2"/>
    <w:rsid w:val="00AA1751"/>
    <w:rsid w:val="00AA19CA"/>
    <w:rsid w:val="00AA297B"/>
    <w:rsid w:val="00AA6839"/>
    <w:rsid w:val="00AA7A29"/>
    <w:rsid w:val="00AB0A5C"/>
    <w:rsid w:val="00AB2C23"/>
    <w:rsid w:val="00AB3FEF"/>
    <w:rsid w:val="00AB4AEA"/>
    <w:rsid w:val="00AC0DB4"/>
    <w:rsid w:val="00AC0E73"/>
    <w:rsid w:val="00AC106F"/>
    <w:rsid w:val="00AC15D5"/>
    <w:rsid w:val="00AC1DFC"/>
    <w:rsid w:val="00AD04EB"/>
    <w:rsid w:val="00AD2691"/>
    <w:rsid w:val="00AD55EA"/>
    <w:rsid w:val="00AD59C4"/>
    <w:rsid w:val="00AE02DA"/>
    <w:rsid w:val="00AE5CD6"/>
    <w:rsid w:val="00AF0C30"/>
    <w:rsid w:val="00AF1094"/>
    <w:rsid w:val="00AF296F"/>
    <w:rsid w:val="00B03F4B"/>
    <w:rsid w:val="00B1134F"/>
    <w:rsid w:val="00B1196D"/>
    <w:rsid w:val="00B13A87"/>
    <w:rsid w:val="00B1490D"/>
    <w:rsid w:val="00B149C7"/>
    <w:rsid w:val="00B16091"/>
    <w:rsid w:val="00B163C0"/>
    <w:rsid w:val="00B16780"/>
    <w:rsid w:val="00B229FA"/>
    <w:rsid w:val="00B248AA"/>
    <w:rsid w:val="00B24D38"/>
    <w:rsid w:val="00B2666A"/>
    <w:rsid w:val="00B30731"/>
    <w:rsid w:val="00B31B81"/>
    <w:rsid w:val="00B32A50"/>
    <w:rsid w:val="00B35E68"/>
    <w:rsid w:val="00B36332"/>
    <w:rsid w:val="00B377BE"/>
    <w:rsid w:val="00B42A69"/>
    <w:rsid w:val="00B43F30"/>
    <w:rsid w:val="00B454D9"/>
    <w:rsid w:val="00B50F0E"/>
    <w:rsid w:val="00B519B7"/>
    <w:rsid w:val="00B61570"/>
    <w:rsid w:val="00B6599E"/>
    <w:rsid w:val="00B65D33"/>
    <w:rsid w:val="00B6721B"/>
    <w:rsid w:val="00B673B9"/>
    <w:rsid w:val="00B703AE"/>
    <w:rsid w:val="00B7154F"/>
    <w:rsid w:val="00B72D6C"/>
    <w:rsid w:val="00B76676"/>
    <w:rsid w:val="00B77029"/>
    <w:rsid w:val="00B841E1"/>
    <w:rsid w:val="00B84EC7"/>
    <w:rsid w:val="00B8715F"/>
    <w:rsid w:val="00B87753"/>
    <w:rsid w:val="00B87AFF"/>
    <w:rsid w:val="00B9386E"/>
    <w:rsid w:val="00B94D67"/>
    <w:rsid w:val="00B953B1"/>
    <w:rsid w:val="00BA207F"/>
    <w:rsid w:val="00BA22B6"/>
    <w:rsid w:val="00BA2749"/>
    <w:rsid w:val="00BA3AA3"/>
    <w:rsid w:val="00BA6409"/>
    <w:rsid w:val="00BB0567"/>
    <w:rsid w:val="00BB2C92"/>
    <w:rsid w:val="00BB3DD2"/>
    <w:rsid w:val="00BB69F4"/>
    <w:rsid w:val="00BB6E98"/>
    <w:rsid w:val="00BC0E68"/>
    <w:rsid w:val="00BC2F71"/>
    <w:rsid w:val="00BC337C"/>
    <w:rsid w:val="00BC4DB1"/>
    <w:rsid w:val="00BC5793"/>
    <w:rsid w:val="00BD0AEE"/>
    <w:rsid w:val="00BD3498"/>
    <w:rsid w:val="00BD522A"/>
    <w:rsid w:val="00BE2CF0"/>
    <w:rsid w:val="00BE4712"/>
    <w:rsid w:val="00BE5657"/>
    <w:rsid w:val="00BE5B50"/>
    <w:rsid w:val="00BF22DB"/>
    <w:rsid w:val="00BF3886"/>
    <w:rsid w:val="00C0022E"/>
    <w:rsid w:val="00C0336E"/>
    <w:rsid w:val="00C03A49"/>
    <w:rsid w:val="00C06020"/>
    <w:rsid w:val="00C0609F"/>
    <w:rsid w:val="00C12A89"/>
    <w:rsid w:val="00C1303B"/>
    <w:rsid w:val="00C15363"/>
    <w:rsid w:val="00C15910"/>
    <w:rsid w:val="00C160F8"/>
    <w:rsid w:val="00C22CAC"/>
    <w:rsid w:val="00C22EAD"/>
    <w:rsid w:val="00C30BF4"/>
    <w:rsid w:val="00C32538"/>
    <w:rsid w:val="00C32620"/>
    <w:rsid w:val="00C344F7"/>
    <w:rsid w:val="00C35D17"/>
    <w:rsid w:val="00C35E23"/>
    <w:rsid w:val="00C36941"/>
    <w:rsid w:val="00C405FA"/>
    <w:rsid w:val="00C4156E"/>
    <w:rsid w:val="00C450E0"/>
    <w:rsid w:val="00C479B4"/>
    <w:rsid w:val="00C47F62"/>
    <w:rsid w:val="00C50149"/>
    <w:rsid w:val="00C57D7D"/>
    <w:rsid w:val="00C625E4"/>
    <w:rsid w:val="00C662FC"/>
    <w:rsid w:val="00C6631A"/>
    <w:rsid w:val="00C66354"/>
    <w:rsid w:val="00C67897"/>
    <w:rsid w:val="00C70097"/>
    <w:rsid w:val="00C706A6"/>
    <w:rsid w:val="00C72A31"/>
    <w:rsid w:val="00C74648"/>
    <w:rsid w:val="00C77C4B"/>
    <w:rsid w:val="00C8012E"/>
    <w:rsid w:val="00C83200"/>
    <w:rsid w:val="00C84FD9"/>
    <w:rsid w:val="00C90C23"/>
    <w:rsid w:val="00C914FF"/>
    <w:rsid w:val="00C932B8"/>
    <w:rsid w:val="00C97D80"/>
    <w:rsid w:val="00CA046B"/>
    <w:rsid w:val="00CA2A94"/>
    <w:rsid w:val="00CA3F23"/>
    <w:rsid w:val="00CA52EF"/>
    <w:rsid w:val="00CA7035"/>
    <w:rsid w:val="00CB038B"/>
    <w:rsid w:val="00CB0508"/>
    <w:rsid w:val="00CB070D"/>
    <w:rsid w:val="00CB0C5A"/>
    <w:rsid w:val="00CB57B5"/>
    <w:rsid w:val="00CB793A"/>
    <w:rsid w:val="00CC1BC6"/>
    <w:rsid w:val="00CC3092"/>
    <w:rsid w:val="00CC56A1"/>
    <w:rsid w:val="00CC6457"/>
    <w:rsid w:val="00CC791A"/>
    <w:rsid w:val="00CD08E6"/>
    <w:rsid w:val="00CE2C4D"/>
    <w:rsid w:val="00CE6EB1"/>
    <w:rsid w:val="00CE7916"/>
    <w:rsid w:val="00CE7BCE"/>
    <w:rsid w:val="00CF7029"/>
    <w:rsid w:val="00D06B70"/>
    <w:rsid w:val="00D101CF"/>
    <w:rsid w:val="00D11486"/>
    <w:rsid w:val="00D12EB3"/>
    <w:rsid w:val="00D15D2C"/>
    <w:rsid w:val="00D16ABE"/>
    <w:rsid w:val="00D16DBA"/>
    <w:rsid w:val="00D203DB"/>
    <w:rsid w:val="00D20B66"/>
    <w:rsid w:val="00D229EE"/>
    <w:rsid w:val="00D23DC7"/>
    <w:rsid w:val="00D272A2"/>
    <w:rsid w:val="00D31F62"/>
    <w:rsid w:val="00D42A62"/>
    <w:rsid w:val="00D42CCE"/>
    <w:rsid w:val="00D43743"/>
    <w:rsid w:val="00D46A42"/>
    <w:rsid w:val="00D50EAB"/>
    <w:rsid w:val="00D51FF6"/>
    <w:rsid w:val="00D52EC1"/>
    <w:rsid w:val="00D530A0"/>
    <w:rsid w:val="00D535BE"/>
    <w:rsid w:val="00D54CEE"/>
    <w:rsid w:val="00D5744B"/>
    <w:rsid w:val="00D606A2"/>
    <w:rsid w:val="00D61915"/>
    <w:rsid w:val="00D741AD"/>
    <w:rsid w:val="00D74ECF"/>
    <w:rsid w:val="00D7520E"/>
    <w:rsid w:val="00D76EAA"/>
    <w:rsid w:val="00D76F89"/>
    <w:rsid w:val="00D77F5D"/>
    <w:rsid w:val="00D80078"/>
    <w:rsid w:val="00D8490C"/>
    <w:rsid w:val="00D8534B"/>
    <w:rsid w:val="00D8549B"/>
    <w:rsid w:val="00D90A3B"/>
    <w:rsid w:val="00D96F56"/>
    <w:rsid w:val="00DA0CFF"/>
    <w:rsid w:val="00DA1E04"/>
    <w:rsid w:val="00DA326D"/>
    <w:rsid w:val="00DA3925"/>
    <w:rsid w:val="00DA3CC6"/>
    <w:rsid w:val="00DA52F6"/>
    <w:rsid w:val="00DA5C30"/>
    <w:rsid w:val="00DB3B1C"/>
    <w:rsid w:val="00DB5810"/>
    <w:rsid w:val="00DB6C65"/>
    <w:rsid w:val="00DB79BB"/>
    <w:rsid w:val="00DC133B"/>
    <w:rsid w:val="00DC19E9"/>
    <w:rsid w:val="00DC2EA5"/>
    <w:rsid w:val="00DC49F8"/>
    <w:rsid w:val="00DD2697"/>
    <w:rsid w:val="00DD3FE8"/>
    <w:rsid w:val="00DD494A"/>
    <w:rsid w:val="00DE049C"/>
    <w:rsid w:val="00DE07E9"/>
    <w:rsid w:val="00DE225B"/>
    <w:rsid w:val="00DE635F"/>
    <w:rsid w:val="00DF0690"/>
    <w:rsid w:val="00DF3D25"/>
    <w:rsid w:val="00DF46F3"/>
    <w:rsid w:val="00DF52F7"/>
    <w:rsid w:val="00DF640B"/>
    <w:rsid w:val="00DF66D3"/>
    <w:rsid w:val="00DF7579"/>
    <w:rsid w:val="00E023CC"/>
    <w:rsid w:val="00E02FDC"/>
    <w:rsid w:val="00E0682E"/>
    <w:rsid w:val="00E11F38"/>
    <w:rsid w:val="00E1207A"/>
    <w:rsid w:val="00E13B46"/>
    <w:rsid w:val="00E20153"/>
    <w:rsid w:val="00E277DE"/>
    <w:rsid w:val="00E27ED8"/>
    <w:rsid w:val="00E313A4"/>
    <w:rsid w:val="00E36814"/>
    <w:rsid w:val="00E40FE5"/>
    <w:rsid w:val="00E4433C"/>
    <w:rsid w:val="00E445CF"/>
    <w:rsid w:val="00E44D1B"/>
    <w:rsid w:val="00E450CA"/>
    <w:rsid w:val="00E4532D"/>
    <w:rsid w:val="00E50178"/>
    <w:rsid w:val="00E57CAE"/>
    <w:rsid w:val="00E61144"/>
    <w:rsid w:val="00E62510"/>
    <w:rsid w:val="00E63CFE"/>
    <w:rsid w:val="00E64DC7"/>
    <w:rsid w:val="00E66214"/>
    <w:rsid w:val="00E7411B"/>
    <w:rsid w:val="00E744B5"/>
    <w:rsid w:val="00E744C8"/>
    <w:rsid w:val="00E74AA3"/>
    <w:rsid w:val="00E763ED"/>
    <w:rsid w:val="00E76412"/>
    <w:rsid w:val="00E81A2C"/>
    <w:rsid w:val="00E81DF5"/>
    <w:rsid w:val="00E81E54"/>
    <w:rsid w:val="00E82BED"/>
    <w:rsid w:val="00E82EEF"/>
    <w:rsid w:val="00E8426F"/>
    <w:rsid w:val="00E855A0"/>
    <w:rsid w:val="00E85835"/>
    <w:rsid w:val="00E87924"/>
    <w:rsid w:val="00E90A83"/>
    <w:rsid w:val="00E93106"/>
    <w:rsid w:val="00E93721"/>
    <w:rsid w:val="00E95F47"/>
    <w:rsid w:val="00EA0141"/>
    <w:rsid w:val="00EA0494"/>
    <w:rsid w:val="00EA0CB7"/>
    <w:rsid w:val="00EA5A50"/>
    <w:rsid w:val="00EB0533"/>
    <w:rsid w:val="00EB0EF4"/>
    <w:rsid w:val="00EB17E7"/>
    <w:rsid w:val="00EB22A0"/>
    <w:rsid w:val="00EB27C4"/>
    <w:rsid w:val="00EB44F0"/>
    <w:rsid w:val="00EB4A9A"/>
    <w:rsid w:val="00EB5768"/>
    <w:rsid w:val="00EC03A7"/>
    <w:rsid w:val="00EC08F1"/>
    <w:rsid w:val="00EC7C3B"/>
    <w:rsid w:val="00ED0A2C"/>
    <w:rsid w:val="00ED0C43"/>
    <w:rsid w:val="00ED3818"/>
    <w:rsid w:val="00ED6170"/>
    <w:rsid w:val="00ED6EE0"/>
    <w:rsid w:val="00EE14EF"/>
    <w:rsid w:val="00EE2959"/>
    <w:rsid w:val="00EE36DF"/>
    <w:rsid w:val="00EE48B9"/>
    <w:rsid w:val="00EE7980"/>
    <w:rsid w:val="00EF16EE"/>
    <w:rsid w:val="00EF76A8"/>
    <w:rsid w:val="00EF7F80"/>
    <w:rsid w:val="00F015E0"/>
    <w:rsid w:val="00F040F5"/>
    <w:rsid w:val="00F05D59"/>
    <w:rsid w:val="00F124DB"/>
    <w:rsid w:val="00F201F3"/>
    <w:rsid w:val="00F32576"/>
    <w:rsid w:val="00F37F52"/>
    <w:rsid w:val="00F408BB"/>
    <w:rsid w:val="00F40985"/>
    <w:rsid w:val="00F43C69"/>
    <w:rsid w:val="00F4640C"/>
    <w:rsid w:val="00F4652B"/>
    <w:rsid w:val="00F468E3"/>
    <w:rsid w:val="00F51C16"/>
    <w:rsid w:val="00F52DA1"/>
    <w:rsid w:val="00F53D71"/>
    <w:rsid w:val="00F5634F"/>
    <w:rsid w:val="00F56C67"/>
    <w:rsid w:val="00F56D5F"/>
    <w:rsid w:val="00F7099F"/>
    <w:rsid w:val="00F718DE"/>
    <w:rsid w:val="00F71FE4"/>
    <w:rsid w:val="00F729F8"/>
    <w:rsid w:val="00F779C4"/>
    <w:rsid w:val="00F80273"/>
    <w:rsid w:val="00F808A6"/>
    <w:rsid w:val="00F81553"/>
    <w:rsid w:val="00F81588"/>
    <w:rsid w:val="00F81AF6"/>
    <w:rsid w:val="00F849CF"/>
    <w:rsid w:val="00F909E7"/>
    <w:rsid w:val="00F920BC"/>
    <w:rsid w:val="00F94048"/>
    <w:rsid w:val="00F94678"/>
    <w:rsid w:val="00F97181"/>
    <w:rsid w:val="00F97AB9"/>
    <w:rsid w:val="00FA723D"/>
    <w:rsid w:val="00FB1692"/>
    <w:rsid w:val="00FB2615"/>
    <w:rsid w:val="00FB42BB"/>
    <w:rsid w:val="00FB618E"/>
    <w:rsid w:val="00FC39C5"/>
    <w:rsid w:val="00FC498A"/>
    <w:rsid w:val="00FD2696"/>
    <w:rsid w:val="00FD40D9"/>
    <w:rsid w:val="00FD45A2"/>
    <w:rsid w:val="00FD74DF"/>
    <w:rsid w:val="00FE0498"/>
    <w:rsid w:val="00FE09D9"/>
    <w:rsid w:val="00FE2191"/>
    <w:rsid w:val="00FE3F8A"/>
    <w:rsid w:val="00FE3FFB"/>
    <w:rsid w:val="00FE532B"/>
    <w:rsid w:val="00FE5FCC"/>
    <w:rsid w:val="00FE6FC1"/>
    <w:rsid w:val="00FF15B9"/>
    <w:rsid w:val="00FF231B"/>
    <w:rsid w:val="00FF27D1"/>
    <w:rsid w:val="00FF328C"/>
    <w:rsid w:val="00FF3B35"/>
    <w:rsid w:val="00FF5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F38EC5"/>
  <w15:docId w15:val="{8F7CD57C-91B9-413C-8FA5-C57C2F468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4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46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632"/>
  </w:style>
  <w:style w:type="paragraph" w:styleId="Footer">
    <w:name w:val="footer"/>
    <w:basedOn w:val="Normal"/>
    <w:link w:val="FooterChar"/>
    <w:uiPriority w:val="99"/>
    <w:unhideWhenUsed/>
    <w:rsid w:val="00A446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632"/>
  </w:style>
  <w:style w:type="paragraph" w:styleId="BalloonText">
    <w:name w:val="Balloon Text"/>
    <w:basedOn w:val="Normal"/>
    <w:link w:val="BalloonTextChar"/>
    <w:uiPriority w:val="99"/>
    <w:semiHidden/>
    <w:unhideWhenUsed/>
    <w:rsid w:val="00B14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9C7"/>
    <w:rPr>
      <w:rFonts w:ascii="Tahoma" w:hAnsi="Tahoma" w:cs="Tahoma"/>
      <w:sz w:val="16"/>
      <w:szCs w:val="16"/>
    </w:rPr>
  </w:style>
  <w:style w:type="paragraph" w:styleId="ListParagraph">
    <w:name w:val="List Paragraph"/>
    <w:basedOn w:val="Normal"/>
    <w:uiPriority w:val="34"/>
    <w:qFormat/>
    <w:rsid w:val="00890DED"/>
    <w:pPr>
      <w:ind w:left="720"/>
      <w:contextualSpacing/>
    </w:pPr>
  </w:style>
  <w:style w:type="character" w:styleId="CommentReference">
    <w:name w:val="annotation reference"/>
    <w:basedOn w:val="DefaultParagraphFont"/>
    <w:uiPriority w:val="99"/>
    <w:semiHidden/>
    <w:unhideWhenUsed/>
    <w:rsid w:val="00CA52EF"/>
    <w:rPr>
      <w:sz w:val="18"/>
      <w:szCs w:val="18"/>
    </w:rPr>
  </w:style>
  <w:style w:type="paragraph" w:styleId="CommentText">
    <w:name w:val="annotation text"/>
    <w:basedOn w:val="Normal"/>
    <w:link w:val="CommentTextChar"/>
    <w:uiPriority w:val="99"/>
    <w:semiHidden/>
    <w:unhideWhenUsed/>
    <w:rsid w:val="00CA52EF"/>
    <w:pPr>
      <w:spacing w:line="240" w:lineRule="auto"/>
    </w:pPr>
    <w:rPr>
      <w:sz w:val="24"/>
      <w:szCs w:val="24"/>
    </w:rPr>
  </w:style>
  <w:style w:type="character" w:customStyle="1" w:styleId="CommentTextChar">
    <w:name w:val="Comment Text Char"/>
    <w:basedOn w:val="DefaultParagraphFont"/>
    <w:link w:val="CommentText"/>
    <w:uiPriority w:val="99"/>
    <w:semiHidden/>
    <w:rsid w:val="00CA52EF"/>
    <w:rPr>
      <w:sz w:val="24"/>
      <w:szCs w:val="24"/>
    </w:rPr>
  </w:style>
  <w:style w:type="paragraph" w:styleId="CommentSubject">
    <w:name w:val="annotation subject"/>
    <w:basedOn w:val="CommentText"/>
    <w:next w:val="CommentText"/>
    <w:link w:val="CommentSubjectChar"/>
    <w:uiPriority w:val="99"/>
    <w:semiHidden/>
    <w:unhideWhenUsed/>
    <w:rsid w:val="00CA52EF"/>
    <w:rPr>
      <w:b/>
      <w:bCs/>
      <w:sz w:val="20"/>
      <w:szCs w:val="20"/>
    </w:rPr>
  </w:style>
  <w:style w:type="character" w:customStyle="1" w:styleId="CommentSubjectChar">
    <w:name w:val="Comment Subject Char"/>
    <w:basedOn w:val="CommentTextChar"/>
    <w:link w:val="CommentSubject"/>
    <w:uiPriority w:val="99"/>
    <w:semiHidden/>
    <w:rsid w:val="00CA52EF"/>
    <w:rPr>
      <w:b/>
      <w:bCs/>
      <w:sz w:val="20"/>
      <w:szCs w:val="20"/>
    </w:rPr>
  </w:style>
  <w:style w:type="paragraph" w:styleId="Revision">
    <w:name w:val="Revision"/>
    <w:hidden/>
    <w:uiPriority w:val="99"/>
    <w:semiHidden/>
    <w:rsid w:val="008D14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30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6CDF2-741D-4F2E-B02A-CAD2E635E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Tiffanye Cummings</dc:creator>
  <cp:keywords>PUBLIC</cp:keywords>
  <dc:description>PUBLIC</dc:description>
  <cp:lastModifiedBy>Wolcott Wheeler</cp:lastModifiedBy>
  <cp:revision>4</cp:revision>
  <cp:lastPrinted>2015-10-01T21:06:00Z</cp:lastPrinted>
  <dcterms:created xsi:type="dcterms:W3CDTF">2016-05-22T06:47:00Z</dcterms:created>
  <dcterms:modified xsi:type="dcterms:W3CDTF">2016-05-22T06:48:00Z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PUBLIC</vt:lpwstr>
  </property>
  <property fmtid="{D5CDD505-2E9C-101B-9397-08002B2CF9AE}" pid="3" name="Source">
    <vt:lpwstr>Internal</vt:lpwstr>
  </property>
  <property fmtid="{D5CDD505-2E9C-101B-9397-08002B2CF9AE}" pid="4" name="Footers">
    <vt:lpwstr>Footers</vt:lpwstr>
  </property>
  <property fmtid="{D5CDD505-2E9C-101B-9397-08002B2CF9AE}" pid="5" name="DocClassification">
    <vt:lpwstr>CLAPUBLIC</vt:lpwstr>
  </property>
</Properties>
</file>