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C4" w:rsidRPr="00E37EC4" w:rsidRDefault="00E37EC4" w:rsidP="00E37EC4">
      <w:pPr>
        <w:spacing w:after="0" w:line="180" w:lineRule="atLeast"/>
        <w:textAlignment w:val="baseline"/>
        <w:outlineLvl w:val="1"/>
        <w:rPr>
          <w:rFonts w:eastAsia="Times New Roman" w:cs="Arial"/>
          <w:bCs/>
          <w:sz w:val="24"/>
          <w:szCs w:val="24"/>
        </w:rPr>
      </w:pPr>
      <w:proofErr w:type="spellStart"/>
      <w:r w:rsidRPr="00E37EC4">
        <w:rPr>
          <w:rFonts w:eastAsia="Times New Roman" w:cs="Arial"/>
          <w:b/>
          <w:bCs/>
          <w:sz w:val="24"/>
          <w:szCs w:val="24"/>
        </w:rPr>
        <w:t>Battea’s</w:t>
      </w:r>
      <w:proofErr w:type="spellEnd"/>
      <w:r w:rsidRPr="00E37EC4">
        <w:rPr>
          <w:rFonts w:eastAsia="Times New Roman" w:cs="Arial"/>
          <w:b/>
          <w:bCs/>
          <w:sz w:val="24"/>
          <w:szCs w:val="24"/>
        </w:rPr>
        <w:t xml:space="preserve"> Adam </w:t>
      </w:r>
      <w:proofErr w:type="spellStart"/>
      <w:r w:rsidRPr="00E37EC4">
        <w:rPr>
          <w:rFonts w:eastAsia="Times New Roman" w:cs="Arial"/>
          <w:b/>
          <w:bCs/>
          <w:sz w:val="24"/>
          <w:szCs w:val="24"/>
        </w:rPr>
        <w:t>Foulke</w:t>
      </w:r>
      <w:proofErr w:type="spellEnd"/>
      <w:r w:rsidRPr="00E37EC4">
        <w:rPr>
          <w:rFonts w:eastAsia="Times New Roman" w:cs="Arial"/>
          <w:b/>
          <w:bCs/>
          <w:sz w:val="24"/>
          <w:szCs w:val="24"/>
        </w:rPr>
        <w:t xml:space="preserve"> Addresses Pension Funds: Don’t Leave Money on the Table!</w:t>
      </w:r>
      <w:r w:rsidR="003244DF">
        <w:rPr>
          <w:rFonts w:eastAsia="Times New Roman" w:cs="Arial"/>
          <w:b/>
          <w:bCs/>
          <w:sz w:val="24"/>
          <w:szCs w:val="24"/>
        </w:rPr>
        <w:t xml:space="preserve"> </w:t>
      </w:r>
      <w:bookmarkStart w:id="0" w:name="_GoBack"/>
      <w:proofErr w:type="gramStart"/>
      <w:r w:rsidR="003244DF" w:rsidRPr="003244DF">
        <w:rPr>
          <w:rFonts w:eastAsia="Times New Roman" w:cs="Arial"/>
          <w:bCs/>
          <w:sz w:val="24"/>
          <w:szCs w:val="24"/>
        </w:rPr>
        <w:t>by</w:t>
      </w:r>
      <w:proofErr w:type="gramEnd"/>
      <w:r w:rsidR="003244DF" w:rsidRPr="003244DF">
        <w:rPr>
          <w:rFonts w:eastAsia="Times New Roman" w:cs="Arial"/>
          <w:bCs/>
          <w:sz w:val="24"/>
          <w:szCs w:val="24"/>
        </w:rPr>
        <w:t xml:space="preserve"> Wolcott Wheeler</w:t>
      </w:r>
    </w:p>
    <w:bookmarkEnd w:id="0"/>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February 21, 2016</w:t>
      </w:r>
    </w:p>
    <w:p w:rsidR="00E37EC4" w:rsidRPr="00E37EC4" w:rsidRDefault="00E37EC4"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 xml:space="preserve">On January 20, 2016, Adam </w:t>
      </w:r>
      <w:proofErr w:type="spellStart"/>
      <w:r w:rsidRPr="00E37EC4">
        <w:rPr>
          <w:rFonts w:eastAsia="Times New Roman" w:cs="Arial"/>
          <w:sz w:val="24"/>
          <w:szCs w:val="24"/>
        </w:rPr>
        <w:t>Foulke</w:t>
      </w:r>
      <w:proofErr w:type="spellEnd"/>
      <w:r w:rsidRPr="00E37EC4">
        <w:rPr>
          <w:rFonts w:eastAsia="Times New Roman" w:cs="Arial"/>
          <w:sz w:val="24"/>
          <w:szCs w:val="24"/>
        </w:rPr>
        <w:t xml:space="preserve">, Senior Vice President, Business Development at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addressed a group of prominent pension fund trustees at </w:t>
      </w:r>
      <w:proofErr w:type="spellStart"/>
      <w:r w:rsidRPr="00E37EC4">
        <w:rPr>
          <w:rFonts w:eastAsia="Times New Roman" w:cs="Arial"/>
          <w:sz w:val="24"/>
          <w:szCs w:val="24"/>
        </w:rPr>
        <w:t>Koried’s</w:t>
      </w:r>
      <w:proofErr w:type="spellEnd"/>
      <w:r w:rsidRPr="00E37EC4">
        <w:rPr>
          <w:rFonts w:eastAsia="Times New Roman" w:cs="Arial"/>
          <w:sz w:val="24"/>
          <w:szCs w:val="24"/>
        </w:rPr>
        <w:t xml:space="preserve"> 7th Annual Plan Sponsor Educational Institute in Key West, FL. His audience consisted of trustees who were responsible for over $100 billion in retirement fund investment assets. In his presentation, “Monitoring Your Portfolio: A Discussion of Securities Class Action Litigation and Settlement Recoveries,” he advised them how utilizing the services of a dedicated securities claims filing firm like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could help them maximize the value of their </w:t>
      </w:r>
      <w:hyperlink r:id="rId4" w:history="1">
        <w:r w:rsidRPr="00E37EC4">
          <w:rPr>
            <w:rFonts w:eastAsia="Times New Roman" w:cs="Arial"/>
            <w:sz w:val="24"/>
            <w:szCs w:val="24"/>
            <w:bdr w:val="none" w:sz="0" w:space="0" w:color="auto" w:frame="1"/>
          </w:rPr>
          <w:t>class action claims</w:t>
        </w:r>
      </w:hyperlink>
      <w:r w:rsidRPr="00E37EC4">
        <w:rPr>
          <w:rFonts w:eastAsia="Times New Roman" w:cs="Arial"/>
          <w:sz w:val="24"/>
          <w:szCs w:val="24"/>
        </w:rPr>
        <w:t xml:space="preserve">. By using a firm like </w:t>
      </w:r>
      <w:proofErr w:type="spellStart"/>
      <w:r w:rsidRPr="00E37EC4">
        <w:rPr>
          <w:rFonts w:eastAsia="Times New Roman" w:cs="Arial"/>
          <w:sz w:val="24"/>
          <w:szCs w:val="24"/>
        </w:rPr>
        <w:t>Battea</w:t>
      </w:r>
      <w:proofErr w:type="spellEnd"/>
      <w:r w:rsidRPr="00E37EC4">
        <w:rPr>
          <w:rFonts w:eastAsia="Times New Roman" w:cs="Arial"/>
          <w:sz w:val="24"/>
          <w:szCs w:val="24"/>
        </w:rPr>
        <w:t>, he said, pension funds have the best chance of not leaving crucial money on the table that they and their pensioners are entitled to.</w:t>
      </w:r>
    </w:p>
    <w:p w:rsidR="00C106F1" w:rsidRPr="00E37EC4" w:rsidRDefault="00C106F1" w:rsidP="00E37EC4">
      <w:pPr>
        <w:spacing w:after="0" w:line="180" w:lineRule="atLeast"/>
        <w:textAlignment w:val="baseline"/>
        <w:rPr>
          <w:rFonts w:eastAsia="Times New Roman" w:cs="Arial"/>
          <w:sz w:val="24"/>
          <w:szCs w:val="24"/>
        </w:rPr>
      </w:pPr>
    </w:p>
    <w:p w:rsidR="00E37EC4" w:rsidRP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 </w:t>
      </w:r>
      <w:r w:rsidRPr="00E37EC4">
        <w:rPr>
          <w:rFonts w:eastAsia="Times New Roman" w:cs="Arial"/>
          <w:noProof/>
          <w:sz w:val="24"/>
          <w:szCs w:val="24"/>
          <w:bdr w:val="none" w:sz="0" w:space="0" w:color="auto" w:frame="1"/>
        </w:rPr>
        <w:drawing>
          <wp:inline distT="0" distB="0" distL="0" distR="0" wp14:anchorId="7C4CE039" wp14:editId="2C42F134">
            <wp:extent cx="1028700" cy="1238250"/>
            <wp:effectExtent l="0" t="0" r="0" b="0"/>
            <wp:docPr id="2" name="Picture 2" descr="Adam Foul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 Foulk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p>
    <w:p w:rsidR="00E37EC4" w:rsidRDefault="00E37EC4" w:rsidP="00E37EC4">
      <w:pPr>
        <w:spacing w:after="0" w:line="180" w:lineRule="atLeast"/>
        <w:textAlignment w:val="baseline"/>
        <w:rPr>
          <w:rFonts w:eastAsia="Times New Roman" w:cs="Arial"/>
          <w:b/>
          <w:bCs/>
          <w:sz w:val="24"/>
          <w:szCs w:val="24"/>
          <w:bdr w:val="none" w:sz="0" w:space="0" w:color="auto" w:frame="1"/>
        </w:rPr>
      </w:pPr>
      <w:r w:rsidRPr="00E37EC4">
        <w:rPr>
          <w:rFonts w:eastAsia="Times New Roman" w:cs="Arial"/>
          <w:b/>
          <w:bCs/>
          <w:sz w:val="24"/>
          <w:szCs w:val="24"/>
          <w:bdr w:val="none" w:sz="0" w:space="0" w:color="auto" w:frame="1"/>
        </w:rPr>
        <w:t xml:space="preserve">Adam </w:t>
      </w:r>
      <w:proofErr w:type="spellStart"/>
      <w:r w:rsidRPr="00E37EC4">
        <w:rPr>
          <w:rFonts w:eastAsia="Times New Roman" w:cs="Arial"/>
          <w:b/>
          <w:bCs/>
          <w:sz w:val="24"/>
          <w:szCs w:val="24"/>
          <w:bdr w:val="none" w:sz="0" w:space="0" w:color="auto" w:frame="1"/>
        </w:rPr>
        <w:t>Foulke</w:t>
      </w:r>
      <w:proofErr w:type="spellEnd"/>
      <w:r w:rsidRPr="00E37EC4">
        <w:rPr>
          <w:rFonts w:eastAsia="Times New Roman" w:cs="Arial"/>
          <w:b/>
          <w:bCs/>
          <w:sz w:val="24"/>
          <w:szCs w:val="24"/>
          <w:bdr w:val="none" w:sz="0" w:space="0" w:color="auto" w:frame="1"/>
        </w:rPr>
        <w:t>, Senior Vice President, Business Development</w:t>
      </w:r>
    </w:p>
    <w:p w:rsidR="00C106F1" w:rsidRPr="00E37EC4" w:rsidRDefault="00C106F1"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 He pointed out that of the $90 billion in settlements since 1996, $23 billion represent undistributed settlement funds.</w:t>
      </w:r>
    </w:p>
    <w:p w:rsidR="00C106F1" w:rsidRPr="00E37EC4" w:rsidRDefault="00C106F1"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 xml:space="preserve">“The inefficiencies and increasing complexity of maximizing recoveries via claims processing is the very reason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exists,” he said.</w:t>
      </w:r>
    </w:p>
    <w:p w:rsidR="00C106F1" w:rsidRPr="00E37EC4" w:rsidRDefault="00C106F1" w:rsidP="00E37EC4">
      <w:pPr>
        <w:spacing w:after="0" w:line="180" w:lineRule="atLeast"/>
        <w:textAlignment w:val="baseline"/>
        <w:rPr>
          <w:rFonts w:eastAsia="Times New Roman" w:cs="Arial"/>
          <w:sz w:val="24"/>
          <w:szCs w:val="24"/>
        </w:rPr>
      </w:pPr>
    </w:p>
    <w:p w:rsidR="00E37EC4" w:rsidRP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In the handling of a </w:t>
      </w:r>
      <w:hyperlink r:id="rId7" w:tgtFrame="_blank" w:history="1">
        <w:r w:rsidRPr="00E37EC4">
          <w:rPr>
            <w:rFonts w:eastAsia="Times New Roman" w:cs="Arial"/>
            <w:sz w:val="24"/>
            <w:szCs w:val="24"/>
            <w:bdr w:val="none" w:sz="0" w:space="0" w:color="auto" w:frame="1"/>
          </w:rPr>
          <w:t>securities class action</w:t>
        </w:r>
      </w:hyperlink>
      <w:r w:rsidRPr="00E37EC4">
        <w:rPr>
          <w:rFonts w:eastAsia="Times New Roman" w:cs="Arial"/>
          <w:sz w:val="24"/>
          <w:szCs w:val="24"/>
        </w:rPr>
        <w:t xml:space="preserve">, much depends on the shoulders of the court-appointed claims administrator. But as Adam pointed out, often claims administrators reject claims because of incomplete or fragmented trading data. </w:t>
      </w:r>
      <w:proofErr w:type="spellStart"/>
      <w:r w:rsidRPr="00E37EC4">
        <w:rPr>
          <w:rFonts w:eastAsia="Times New Roman" w:cs="Arial"/>
          <w:sz w:val="24"/>
          <w:szCs w:val="24"/>
        </w:rPr>
        <w:t>Battea’s</w:t>
      </w:r>
      <w:proofErr w:type="spellEnd"/>
      <w:r w:rsidRPr="00E37EC4">
        <w:rPr>
          <w:rFonts w:eastAsia="Times New Roman" w:cs="Arial"/>
          <w:sz w:val="24"/>
          <w:szCs w:val="24"/>
        </w:rPr>
        <w:t xml:space="preserve"> advantage is that it’s a leading expert in the handling of trading data, and because of its thoroughness and innovative practices in the field of </w:t>
      </w:r>
      <w:hyperlink r:id="rId8" w:history="1">
        <w:r w:rsidRPr="00E37EC4">
          <w:rPr>
            <w:rFonts w:eastAsia="Times New Roman" w:cs="Arial"/>
            <w:sz w:val="24"/>
            <w:szCs w:val="24"/>
            <w:bdr w:val="none" w:sz="0" w:space="0" w:color="auto" w:frame="1"/>
          </w:rPr>
          <w:t>data handling</w:t>
        </w:r>
      </w:hyperlink>
      <w:r w:rsidRPr="00E37EC4">
        <w:rPr>
          <w:rFonts w:eastAsia="Times New Roman" w:cs="Arial"/>
          <w:sz w:val="24"/>
          <w:szCs w:val="24"/>
        </w:rPr>
        <w:t xml:space="preserve"> and security,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is often able to win the client substantial funds that they would have been otherwise denied.</w:t>
      </w:r>
    </w:p>
    <w:p w:rsidR="00E37EC4" w:rsidRPr="00E37EC4" w:rsidRDefault="00E37EC4" w:rsidP="00E37EC4">
      <w:pPr>
        <w:spacing w:after="0" w:line="180" w:lineRule="atLeast"/>
        <w:textAlignment w:val="baseline"/>
        <w:rPr>
          <w:rFonts w:eastAsia="Times New Roman" w:cs="Arial"/>
          <w:sz w:val="24"/>
          <w:szCs w:val="24"/>
        </w:rPr>
      </w:pPr>
      <w:r w:rsidRPr="00E37EC4">
        <w:rPr>
          <w:rFonts w:eastAsia="Times New Roman" w:cs="Arial"/>
          <w:noProof/>
          <w:sz w:val="24"/>
          <w:szCs w:val="24"/>
          <w:bdr w:val="none" w:sz="0" w:space="0" w:color="auto" w:frame="1"/>
        </w:rPr>
        <w:lastRenderedPageBreak/>
        <w:drawing>
          <wp:inline distT="0" distB="0" distL="0" distR="0" wp14:anchorId="1F2C3388" wp14:editId="7DC1A180">
            <wp:extent cx="2857500" cy="2143125"/>
            <wp:effectExtent l="0" t="0" r="0" b="9525"/>
            <wp:docPr id="1" name="Picture 1" descr="Iceberg sli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berg slid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37EC4" w:rsidRDefault="00E37EC4" w:rsidP="00E37EC4">
      <w:pPr>
        <w:spacing w:after="0" w:line="180" w:lineRule="atLeast"/>
        <w:textAlignment w:val="baseline"/>
        <w:rPr>
          <w:rFonts w:eastAsia="Times New Roman" w:cs="Arial"/>
          <w:b/>
          <w:bCs/>
          <w:sz w:val="24"/>
          <w:szCs w:val="24"/>
          <w:bdr w:val="none" w:sz="0" w:space="0" w:color="auto" w:frame="1"/>
        </w:rPr>
      </w:pPr>
      <w:r w:rsidRPr="00E37EC4">
        <w:rPr>
          <w:rFonts w:eastAsia="Times New Roman" w:cs="Arial"/>
          <w:b/>
          <w:bCs/>
          <w:sz w:val="24"/>
          <w:szCs w:val="24"/>
          <w:bdr w:val="none" w:sz="0" w:space="0" w:color="auto" w:frame="1"/>
        </w:rPr>
        <w:t>The tip of the iceberg: Adam used this slide to illustrate the hidden complexity of data handling and security in filing securities class action claims</w:t>
      </w:r>
    </w:p>
    <w:p w:rsidR="00C106F1" w:rsidRPr="00E37EC4" w:rsidRDefault="00C106F1"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 xml:space="preserve">Who files claims? They can be handled in-house by the injured pension fund itself, by custodian banks, by law firms, or by financial recovery vendors like </w:t>
      </w:r>
      <w:proofErr w:type="spellStart"/>
      <w:r w:rsidRPr="00E37EC4">
        <w:rPr>
          <w:rFonts w:eastAsia="Times New Roman" w:cs="Arial"/>
          <w:sz w:val="24"/>
          <w:szCs w:val="24"/>
        </w:rPr>
        <w:t>Battea</w:t>
      </w:r>
      <w:proofErr w:type="spellEnd"/>
      <w:r w:rsidRPr="00E37EC4">
        <w:rPr>
          <w:rFonts w:eastAsia="Times New Roman" w:cs="Arial"/>
          <w:sz w:val="24"/>
          <w:szCs w:val="24"/>
        </w:rPr>
        <w:t>. The types of claims can relate to equities, bonds, derivatives, or such non-equity sources as credit default swaps (CDS), interest rate swaps, or foreign exchange transactions.</w:t>
      </w:r>
    </w:p>
    <w:p w:rsidR="00C106F1" w:rsidRPr="00E37EC4" w:rsidRDefault="00C106F1"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Further complicating matters, Adam said, is </w:t>
      </w:r>
      <w:hyperlink r:id="rId11" w:history="1">
        <w:r w:rsidRPr="00E37EC4">
          <w:rPr>
            <w:rFonts w:eastAsia="Times New Roman" w:cs="Arial"/>
            <w:sz w:val="24"/>
            <w:szCs w:val="24"/>
            <w:bdr w:val="none" w:sz="0" w:space="0" w:color="auto" w:frame="1"/>
          </w:rPr>
          <w:t>foreign litigation</w:t>
        </w:r>
      </w:hyperlink>
      <w:r w:rsidRPr="00E37EC4">
        <w:rPr>
          <w:rFonts w:eastAsia="Times New Roman" w:cs="Arial"/>
          <w:sz w:val="24"/>
          <w:szCs w:val="24"/>
        </w:rPr>
        <w:t>, which is not like the U.S. system and gives investors the choice of opting-in versus opting-out of the class action. Foreign litigation becomes a vital issue for pension funds to consider in light of the increasing velocity of filings and global connectedness of capital markets. Adam discussed the litigation funding options available to investors and posed the important question: how do I monitor these class action lawsuits?</w:t>
      </w:r>
    </w:p>
    <w:p w:rsidR="00C106F1" w:rsidRPr="00E37EC4" w:rsidRDefault="00C106F1"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“What types of </w:t>
      </w:r>
      <w:hyperlink r:id="rId12" w:history="1">
        <w:r w:rsidRPr="00E37EC4">
          <w:rPr>
            <w:rFonts w:eastAsia="Times New Roman" w:cs="Arial"/>
            <w:sz w:val="24"/>
            <w:szCs w:val="24"/>
            <w:bdr w:val="none" w:sz="0" w:space="0" w:color="auto" w:frame="1"/>
          </w:rPr>
          <w:t>monitoring tools</w:t>
        </w:r>
      </w:hyperlink>
      <w:r w:rsidRPr="00E37EC4">
        <w:rPr>
          <w:rFonts w:eastAsia="Times New Roman" w:cs="Arial"/>
          <w:sz w:val="24"/>
          <w:szCs w:val="24"/>
        </w:rPr>
        <w:t xml:space="preserve"> are out there, and what’s right for my fund?” he said. The answer: monitoring tools are provided by law firms, custodian banks, and specialized vendors like </w:t>
      </w:r>
      <w:proofErr w:type="spellStart"/>
      <w:r w:rsidRPr="00E37EC4">
        <w:rPr>
          <w:rFonts w:eastAsia="Times New Roman" w:cs="Arial"/>
          <w:sz w:val="24"/>
          <w:szCs w:val="24"/>
        </w:rPr>
        <w:t>Battea</w:t>
      </w:r>
      <w:proofErr w:type="spellEnd"/>
      <w:r w:rsidRPr="00E37EC4">
        <w:rPr>
          <w:rFonts w:eastAsia="Times New Roman" w:cs="Arial"/>
          <w:sz w:val="24"/>
          <w:szCs w:val="24"/>
        </w:rPr>
        <w:t>.</w:t>
      </w:r>
    </w:p>
    <w:p w:rsidR="00C106F1" w:rsidRPr="00E37EC4" w:rsidRDefault="00C106F1"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 xml:space="preserve"> Adam went on to pose the most important question for the audience: “How can I be sure I’m not leaving money on the table?” His reply: engage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In many, many instances,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has been able to obtain funds for clients that otherwise would have been impossible for them to receive. Also, since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executives have longstanding personal relationships with many claims administrators, they are often able to intercede on the behalf of clients in order to resolve knotty administrative problems.</w:t>
      </w:r>
    </w:p>
    <w:p w:rsidR="00C106F1" w:rsidRPr="00E37EC4" w:rsidRDefault="00C106F1"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Let’s face it: $23 billion in undistributed settlement funds is not small change, and even a small fraction of that sum can make a world of difference for a pension fund’s retirees.</w:t>
      </w:r>
    </w:p>
    <w:p w:rsidR="00C106F1" w:rsidRPr="00E37EC4" w:rsidRDefault="00C106F1" w:rsidP="00E37EC4">
      <w:pPr>
        <w:spacing w:after="0" w:line="180" w:lineRule="atLeast"/>
        <w:textAlignment w:val="baseline"/>
        <w:rPr>
          <w:rFonts w:eastAsia="Times New Roman" w:cs="Arial"/>
          <w:sz w:val="24"/>
          <w:szCs w:val="24"/>
        </w:rPr>
      </w:pPr>
    </w:p>
    <w:p w:rsidR="00E37EC4" w:rsidRDefault="00E37EC4" w:rsidP="00E37EC4">
      <w:pPr>
        <w:spacing w:after="0" w:line="180" w:lineRule="atLeast"/>
        <w:textAlignment w:val="baseline"/>
        <w:rPr>
          <w:rFonts w:eastAsia="Times New Roman" w:cs="Arial"/>
          <w:sz w:val="24"/>
          <w:szCs w:val="24"/>
        </w:rPr>
      </w:pPr>
      <w:r w:rsidRPr="00E37EC4">
        <w:rPr>
          <w:rFonts w:eastAsia="Times New Roman" w:cs="Arial"/>
          <w:sz w:val="24"/>
          <w:szCs w:val="24"/>
        </w:rPr>
        <w:t xml:space="preserve">Adam’s speaking engagement is the second time in a month that a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executive has appeared before public pension fund representatives to counsel them concerning their securities class action filing options. On January 14, 2016, Trent </w:t>
      </w:r>
      <w:proofErr w:type="spellStart"/>
      <w:r w:rsidRPr="00E37EC4">
        <w:rPr>
          <w:rFonts w:eastAsia="Times New Roman" w:cs="Arial"/>
          <w:sz w:val="24"/>
          <w:szCs w:val="24"/>
        </w:rPr>
        <w:t>Calabretta</w:t>
      </w:r>
      <w:proofErr w:type="spellEnd"/>
      <w:r w:rsidRPr="00E37EC4">
        <w:rPr>
          <w:rFonts w:eastAsia="Times New Roman" w:cs="Arial"/>
          <w:sz w:val="24"/>
          <w:szCs w:val="24"/>
        </w:rPr>
        <w:t xml:space="preserve">, Vice President and </w:t>
      </w:r>
      <w:r w:rsidRPr="00E37EC4">
        <w:rPr>
          <w:rFonts w:eastAsia="Times New Roman" w:cs="Arial"/>
          <w:sz w:val="24"/>
          <w:szCs w:val="24"/>
        </w:rPr>
        <w:lastRenderedPageBreak/>
        <w:t>Manager of Western US Sales, delivered a presentation entitled, “</w:t>
      </w:r>
      <w:hyperlink r:id="rId13" w:history="1">
        <w:r w:rsidRPr="00E37EC4">
          <w:rPr>
            <w:rFonts w:eastAsia="Times New Roman" w:cs="Arial"/>
            <w:sz w:val="24"/>
            <w:szCs w:val="24"/>
            <w:bdr w:val="none" w:sz="0" w:space="0" w:color="auto" w:frame="1"/>
          </w:rPr>
          <w:t>Defending Your Assets</w:t>
        </w:r>
      </w:hyperlink>
      <w:r w:rsidRPr="00E37EC4">
        <w:rPr>
          <w:rFonts w:eastAsia="Times New Roman" w:cs="Arial"/>
          <w:sz w:val="24"/>
          <w:szCs w:val="24"/>
        </w:rPr>
        <w:t xml:space="preserve">,” to the Public Funds Summit in Scottsdale, AZ. Clearly </w:t>
      </w:r>
      <w:proofErr w:type="spellStart"/>
      <w:r w:rsidRPr="00E37EC4">
        <w:rPr>
          <w:rFonts w:eastAsia="Times New Roman" w:cs="Arial"/>
          <w:sz w:val="24"/>
          <w:szCs w:val="24"/>
        </w:rPr>
        <w:t>Battea</w:t>
      </w:r>
      <w:proofErr w:type="spellEnd"/>
      <w:r w:rsidRPr="00E37EC4">
        <w:rPr>
          <w:rFonts w:eastAsia="Times New Roman" w:cs="Arial"/>
          <w:sz w:val="24"/>
          <w:szCs w:val="24"/>
        </w:rPr>
        <w:t xml:space="preserve"> is reaching out to share its thought leadership with potential clients and to demonstrate to public pension fund trustees what their range of options is when faced with securities fraud.</w:t>
      </w:r>
    </w:p>
    <w:p w:rsidR="00C106F1" w:rsidRPr="00E37EC4" w:rsidRDefault="00C106F1" w:rsidP="00E37EC4">
      <w:pPr>
        <w:spacing w:after="0" w:line="180" w:lineRule="atLeast"/>
        <w:textAlignment w:val="baseline"/>
        <w:rPr>
          <w:rFonts w:eastAsia="Times New Roman" w:cs="Arial"/>
          <w:sz w:val="24"/>
          <w:szCs w:val="24"/>
        </w:rPr>
      </w:pPr>
    </w:p>
    <w:p w:rsidR="00824C0B" w:rsidRPr="00E37EC4" w:rsidRDefault="00824C0B" w:rsidP="00E37EC4">
      <w:pPr>
        <w:rPr>
          <w:sz w:val="24"/>
          <w:szCs w:val="24"/>
        </w:rPr>
      </w:pPr>
    </w:p>
    <w:sectPr w:rsidR="00824C0B" w:rsidRPr="00E3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C4"/>
    <w:rsid w:val="003244DF"/>
    <w:rsid w:val="00824C0B"/>
    <w:rsid w:val="00C106F1"/>
    <w:rsid w:val="00E3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97322-2487-4EF3-BD7B-55598BB8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7E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E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7EC4"/>
    <w:rPr>
      <w:color w:val="0000FF"/>
      <w:u w:val="single"/>
    </w:rPr>
  </w:style>
  <w:style w:type="character" w:customStyle="1" w:styleId="bp-spacer">
    <w:name w:val="bp-spacer"/>
    <w:basedOn w:val="DefaultParagraphFont"/>
    <w:rsid w:val="00E37EC4"/>
  </w:style>
  <w:style w:type="character" w:customStyle="1" w:styleId="chicklets">
    <w:name w:val="chicklets"/>
    <w:basedOn w:val="DefaultParagraphFont"/>
    <w:rsid w:val="00E37EC4"/>
  </w:style>
  <w:style w:type="paragraph" w:styleId="NormalWeb">
    <w:name w:val="Normal (Web)"/>
    <w:basedOn w:val="Normal"/>
    <w:uiPriority w:val="99"/>
    <w:semiHidden/>
    <w:unhideWhenUsed/>
    <w:rsid w:val="00E37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EC4"/>
  </w:style>
  <w:style w:type="character" w:styleId="Strong">
    <w:name w:val="Strong"/>
    <w:basedOn w:val="DefaultParagraphFont"/>
    <w:uiPriority w:val="22"/>
    <w:qFormat/>
    <w:rsid w:val="00E37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82003">
      <w:bodyDiv w:val="1"/>
      <w:marLeft w:val="0"/>
      <w:marRight w:val="0"/>
      <w:marTop w:val="0"/>
      <w:marBottom w:val="0"/>
      <w:divBdr>
        <w:top w:val="none" w:sz="0" w:space="0" w:color="auto"/>
        <w:left w:val="none" w:sz="0" w:space="0" w:color="auto"/>
        <w:bottom w:val="none" w:sz="0" w:space="0" w:color="auto"/>
        <w:right w:val="none" w:sz="0" w:space="0" w:color="auto"/>
      </w:divBdr>
      <w:divsChild>
        <w:div w:id="1812551771">
          <w:marLeft w:val="0"/>
          <w:marRight w:val="0"/>
          <w:marTop w:val="0"/>
          <w:marBottom w:val="0"/>
          <w:divBdr>
            <w:top w:val="none" w:sz="0" w:space="0" w:color="auto"/>
            <w:left w:val="none" w:sz="0" w:space="0" w:color="auto"/>
            <w:bottom w:val="none" w:sz="0" w:space="0" w:color="auto"/>
            <w:right w:val="none" w:sz="0" w:space="0" w:color="auto"/>
          </w:divBdr>
          <w:divsChild>
            <w:div w:id="1159999364">
              <w:marLeft w:val="0"/>
              <w:marRight w:val="0"/>
              <w:marTop w:val="0"/>
              <w:marBottom w:val="0"/>
              <w:divBdr>
                <w:top w:val="none" w:sz="0" w:space="0" w:color="auto"/>
                <w:left w:val="none" w:sz="0" w:space="0" w:color="auto"/>
                <w:bottom w:val="none" w:sz="0" w:space="0" w:color="auto"/>
                <w:right w:val="none" w:sz="0" w:space="0" w:color="auto"/>
              </w:divBdr>
              <w:divsChild>
                <w:div w:id="843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tea.com/what-we-do/wwd-class-action-data-processing.html" TargetMode="External"/><Relationship Id="rId13" Type="http://schemas.openxmlformats.org/officeDocument/2006/relationships/hyperlink" Target="https://www.battea.com/blog/batteas-trent-calabretta-tells-public-funds-summit-defend-assets/" TargetMode="External"/><Relationship Id="rId3" Type="http://schemas.openxmlformats.org/officeDocument/2006/relationships/webSettings" Target="webSettings.xml"/><Relationship Id="rId7" Type="http://schemas.openxmlformats.org/officeDocument/2006/relationships/hyperlink" Target="https://www.battea.com/images/Images/Documents/CloserLook.pdf" TargetMode="External"/><Relationship Id="rId12" Type="http://schemas.openxmlformats.org/officeDocument/2006/relationships/hyperlink" Target="https://www.battea.com/what-we-do/wwd-class-action-monitor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attea.com/what-we-do/international-settlements.html" TargetMode="External"/><Relationship Id="rId5" Type="http://schemas.openxmlformats.org/officeDocument/2006/relationships/hyperlink" Target="https://www.battea.com/blog/batteas-adam-foulke-addresses-pension-funds-dont-leave-money-table/adam_foulke_web_v2/"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s://www.battea.com/what-we-do/class-action-claims-filing.html" TargetMode="External"/><Relationship Id="rId9" Type="http://schemas.openxmlformats.org/officeDocument/2006/relationships/hyperlink" Target="https://www.battea.com/blog/batteas-adam-foulke-addresses-pension-funds-dont-leave-money-table/iceberg-sl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4</cp:revision>
  <dcterms:created xsi:type="dcterms:W3CDTF">2016-05-22T05:57:00Z</dcterms:created>
  <dcterms:modified xsi:type="dcterms:W3CDTF">2016-05-22T06:06:00Z</dcterms:modified>
</cp:coreProperties>
</file>