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7" w:rsidRPr="008A7DA8" w:rsidRDefault="00583E4B" w:rsidP="00830519">
      <w:pPr>
        <w:ind w:left="-18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0.1pt;height:443.75pt;mso-position-horizontal-relative:char;mso-position-vertical-relative:line">
            <v:imagedata r:id="rId7" o:title="D-30 OWS Horizontal Exterior Deco Window 10 x 3" cropbottom="2229f"/>
          </v:shape>
        </w:pict>
      </w:r>
      <w:r w:rsidR="00EC5169" w:rsidRPr="008A7DA8">
        <w:rPr>
          <w:rFonts w:ascii="Verdana" w:hAnsi="Verdana"/>
          <w:b/>
          <w:sz w:val="20"/>
          <w:szCs w:val="20"/>
        </w:rPr>
        <w:t xml:space="preserve">      </w:t>
      </w:r>
    </w:p>
    <w:p w:rsidR="005C33AE" w:rsidRDefault="005C33AE" w:rsidP="00707648">
      <w:pPr>
        <w:rPr>
          <w:bCs/>
          <w:sz w:val="28"/>
          <w:szCs w:val="28"/>
        </w:rPr>
      </w:pPr>
      <w:r>
        <w:rPr>
          <w:rFonts w:ascii="Arial" w:hAnsi="Arial" w:cs="Arial"/>
          <w:color w:val="313237"/>
          <w:sz w:val="18"/>
          <w:szCs w:val="18"/>
        </w:rPr>
        <w:fldChar w:fldCharType="begin"/>
      </w:r>
      <w:r>
        <w:rPr>
          <w:rFonts w:ascii="Arial" w:hAnsi="Arial" w:cs="Arial"/>
          <w:color w:val="313237"/>
          <w:sz w:val="18"/>
          <w:szCs w:val="18"/>
        </w:rPr>
        <w:instrText xml:space="preserve"> INCLUDEPICTURE "http://www.nornik.ru/_i/logo_e.gif" \* MERGEFORMATINET </w:instrText>
      </w:r>
      <w:r>
        <w:rPr>
          <w:rFonts w:ascii="Arial" w:hAnsi="Arial" w:cs="Arial"/>
          <w:color w:val="313237"/>
          <w:sz w:val="18"/>
          <w:szCs w:val="18"/>
        </w:rPr>
        <w:fldChar w:fldCharType="separate"/>
      </w:r>
      <w:r w:rsidR="00BB1501">
        <w:rPr>
          <w:rFonts w:ascii="Arial" w:hAnsi="Arial" w:cs="Arial"/>
          <w:color w:val="313237"/>
          <w:sz w:val="18"/>
          <w:szCs w:val="18"/>
        </w:rPr>
        <w:fldChar w:fldCharType="begin"/>
      </w:r>
      <w:r w:rsidR="00BB1501">
        <w:rPr>
          <w:rFonts w:ascii="Arial" w:hAnsi="Arial" w:cs="Arial"/>
          <w:color w:val="313237"/>
          <w:sz w:val="18"/>
          <w:szCs w:val="18"/>
        </w:rPr>
        <w:instrText xml:space="preserve"> </w:instrText>
      </w:r>
      <w:r w:rsidR="00BB1501">
        <w:rPr>
          <w:rFonts w:ascii="Arial" w:hAnsi="Arial" w:cs="Arial"/>
          <w:color w:val="313237"/>
          <w:sz w:val="18"/>
          <w:szCs w:val="18"/>
        </w:rPr>
        <w:instrText>INCLUDEPICTURE  "http://www.nornik.ru/_i/logo_e.gif" \* MERGEFORMATINET</w:instrText>
      </w:r>
      <w:r w:rsidR="00BB1501">
        <w:rPr>
          <w:rFonts w:ascii="Arial" w:hAnsi="Arial" w:cs="Arial"/>
          <w:color w:val="313237"/>
          <w:sz w:val="18"/>
          <w:szCs w:val="18"/>
        </w:rPr>
        <w:instrText xml:space="preserve"> </w:instrText>
      </w:r>
      <w:r w:rsidR="00BB1501">
        <w:rPr>
          <w:rFonts w:ascii="Arial" w:hAnsi="Arial" w:cs="Arial"/>
          <w:color w:val="313237"/>
          <w:sz w:val="18"/>
          <w:szCs w:val="18"/>
        </w:rPr>
        <w:fldChar w:fldCharType="separate"/>
      </w:r>
      <w:r w:rsidR="00BB1501">
        <w:rPr>
          <w:rFonts w:ascii="Arial" w:hAnsi="Arial" w:cs="Arial"/>
          <w:color w:val="313237"/>
          <w:sz w:val="18"/>
          <w:szCs w:val="18"/>
        </w:rPr>
        <w:pict>
          <v:shape id="_x0000_i1026" type="#_x0000_t75" alt="Norilsk Nickel" style="width:118.4pt;height:51.9pt">
            <v:imagedata r:id="rId8" r:href="rId9"/>
          </v:shape>
        </w:pict>
      </w:r>
      <w:r w:rsidR="00BB1501">
        <w:rPr>
          <w:rFonts w:ascii="Arial" w:hAnsi="Arial" w:cs="Arial"/>
          <w:color w:val="313237"/>
          <w:sz w:val="18"/>
          <w:szCs w:val="18"/>
        </w:rPr>
        <w:fldChar w:fldCharType="end"/>
      </w:r>
      <w:r>
        <w:rPr>
          <w:rFonts w:ascii="Arial" w:hAnsi="Arial" w:cs="Arial"/>
          <w:color w:val="313237"/>
          <w:sz w:val="18"/>
          <w:szCs w:val="18"/>
        </w:rPr>
        <w:fldChar w:fldCharType="end"/>
      </w:r>
    </w:p>
    <w:p w:rsidR="00707648" w:rsidRPr="005C33AE" w:rsidRDefault="00707648" w:rsidP="00707648">
      <w:pPr>
        <w:rPr>
          <w:b/>
          <w:bCs/>
          <w:sz w:val="28"/>
          <w:szCs w:val="28"/>
        </w:rPr>
      </w:pPr>
      <w:r w:rsidRPr="005C33AE">
        <w:rPr>
          <w:b/>
          <w:bCs/>
          <w:sz w:val="28"/>
          <w:szCs w:val="28"/>
        </w:rPr>
        <w:t>Case Study: August 2007</w:t>
      </w:r>
    </w:p>
    <w:p w:rsidR="00707648" w:rsidRPr="00CA3C7D" w:rsidRDefault="00707648" w:rsidP="00212B40">
      <w:pPr>
        <w:rPr>
          <w:rFonts w:ascii="Verdana" w:hAnsi="Verdana"/>
          <w:b/>
          <w:sz w:val="40"/>
          <w:szCs w:val="40"/>
        </w:rPr>
      </w:pPr>
    </w:p>
    <w:p w:rsidR="00F11B1F" w:rsidRPr="005C33AE" w:rsidRDefault="005C33AE" w:rsidP="005C33AE">
      <w:pPr>
        <w:rPr>
          <w:bCs/>
          <w:sz w:val="28"/>
          <w:szCs w:val="28"/>
        </w:rPr>
      </w:pPr>
      <w:proofErr w:type="spellStart"/>
      <w:r w:rsidRPr="005C33AE">
        <w:rPr>
          <w:bCs/>
          <w:sz w:val="28"/>
          <w:szCs w:val="28"/>
        </w:rPr>
        <w:t>Ulyana</w:t>
      </w:r>
      <w:proofErr w:type="spellEnd"/>
      <w:r w:rsidRPr="005C33AE">
        <w:rPr>
          <w:bCs/>
          <w:sz w:val="28"/>
          <w:szCs w:val="28"/>
        </w:rPr>
        <w:t xml:space="preserve"> Denga</w:t>
      </w:r>
      <w:r w:rsidRPr="005C33AE">
        <w:rPr>
          <w:bCs/>
          <w:sz w:val="28"/>
          <w:szCs w:val="28"/>
        </w:rPr>
        <w:br/>
        <w:t>Investor Relations Manager</w:t>
      </w:r>
    </w:p>
    <w:p w:rsidR="005C33AE" w:rsidRPr="005C33AE" w:rsidRDefault="005C33AE" w:rsidP="005C33AE">
      <w:pPr>
        <w:rPr>
          <w:bCs/>
          <w:sz w:val="28"/>
          <w:szCs w:val="28"/>
        </w:rPr>
      </w:pPr>
    </w:p>
    <w:p w:rsidR="00F11B1F" w:rsidRPr="005C33AE" w:rsidRDefault="005C33AE" w:rsidP="005C33AE">
      <w:pPr>
        <w:rPr>
          <w:bCs/>
          <w:sz w:val="28"/>
          <w:szCs w:val="28"/>
        </w:rPr>
      </w:pPr>
      <w:r w:rsidRPr="005C33AE">
        <w:rPr>
          <w:bCs/>
          <w:sz w:val="28"/>
          <w:szCs w:val="28"/>
        </w:rPr>
        <w:t xml:space="preserve">Dmitry </w:t>
      </w:r>
      <w:proofErr w:type="spellStart"/>
      <w:r w:rsidRPr="005C33AE">
        <w:rPr>
          <w:bCs/>
          <w:sz w:val="28"/>
          <w:szCs w:val="28"/>
        </w:rPr>
        <w:t>Usanov</w:t>
      </w:r>
      <w:proofErr w:type="spellEnd"/>
      <w:r w:rsidRPr="005C33AE">
        <w:rPr>
          <w:bCs/>
          <w:sz w:val="28"/>
          <w:szCs w:val="28"/>
        </w:rPr>
        <w:br/>
        <w:t>Head of Investor Relations</w:t>
      </w:r>
    </w:p>
    <w:p w:rsidR="009D46D2" w:rsidRPr="008A7DA8" w:rsidRDefault="009D46D2" w:rsidP="00C50081">
      <w:pPr>
        <w:rPr>
          <w:rFonts w:ascii="Verdana" w:hAnsi="Verdana"/>
          <w:sz w:val="20"/>
          <w:szCs w:val="20"/>
        </w:rPr>
      </w:pPr>
    </w:p>
    <w:p w:rsidR="005C33AE" w:rsidRDefault="005C33A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  <w:sectPr w:rsidR="005C33AE" w:rsidSect="007076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325" w:bottom="1440" w:left="1800" w:header="720" w:footer="720" w:gutter="0"/>
          <w:cols w:space="720"/>
          <w:titlePg/>
          <w:docGrid w:linePitch="360"/>
        </w:sectPr>
      </w:pPr>
      <w:bookmarkStart w:id="0" w:name="_Toc117905699"/>
    </w:p>
    <w:p w:rsidR="00707648" w:rsidRPr="002C5432" w:rsidRDefault="00707648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777CDF" w:rsidRDefault="00777CDF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MMC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color w:val="000000"/>
              <w:sz w:val="20"/>
              <w:szCs w:val="20"/>
            </w:rPr>
            <w:t>Norilsk</w:t>
          </w:r>
        </w:smartTag>
      </w:smartTag>
      <w:r>
        <w:rPr>
          <w:rFonts w:ascii="Arial" w:hAnsi="Arial" w:cs="Arial"/>
          <w:b/>
          <w:color w:val="000000"/>
          <w:sz w:val="20"/>
          <w:szCs w:val="20"/>
        </w:rPr>
        <w:t xml:space="preserve"> Nickel</w:t>
      </w:r>
      <w:r w:rsidR="00707648" w:rsidRPr="0028451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4E89" w:rsidRPr="00284516">
        <w:rPr>
          <w:rFonts w:ascii="Arial" w:hAnsi="Arial" w:cs="Arial"/>
          <w:b/>
          <w:color w:val="000000"/>
          <w:sz w:val="20"/>
          <w:szCs w:val="20"/>
        </w:rPr>
        <w:t>(</w:t>
      </w:r>
      <w:r w:rsidR="00284516">
        <w:rPr>
          <w:rFonts w:ascii="Arial" w:hAnsi="Arial" w:cs="Arial"/>
          <w:b/>
          <w:color w:val="000000"/>
          <w:sz w:val="20"/>
          <w:szCs w:val="20"/>
        </w:rPr>
        <w:t>ADR Ticker</w:t>
      </w:r>
      <w:r w:rsidR="00A84E89" w:rsidRPr="00284516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NILSY</w:t>
      </w:r>
      <w:r w:rsidR="00A84E89" w:rsidRPr="00284516">
        <w:rPr>
          <w:rFonts w:ascii="Arial" w:hAnsi="Arial" w:cs="Arial"/>
          <w:b/>
          <w:color w:val="000000"/>
          <w:sz w:val="20"/>
          <w:szCs w:val="20"/>
        </w:rPr>
        <w:t>)</w:t>
      </w:r>
      <w:r w:rsidR="00A84E89" w:rsidRPr="002C5432">
        <w:rPr>
          <w:rFonts w:ascii="Arial" w:hAnsi="Arial" w:cs="Arial"/>
          <w:color w:val="000000"/>
          <w:sz w:val="20"/>
          <w:szCs w:val="20"/>
        </w:rPr>
        <w:t xml:space="preserve"> </w:t>
      </w:r>
      <w:r w:rsidR="00707648" w:rsidRPr="002C5432">
        <w:rPr>
          <w:rFonts w:ascii="Arial" w:hAnsi="Arial" w:cs="Arial"/>
          <w:color w:val="000000"/>
          <w:sz w:val="20"/>
          <w:szCs w:val="20"/>
        </w:rPr>
        <w:t xml:space="preserve">has been a client of The Bank of New York Mellon since </w:t>
      </w:r>
      <w:r>
        <w:rPr>
          <w:rFonts w:ascii="Arial" w:hAnsi="Arial" w:cs="Arial"/>
          <w:color w:val="000000"/>
          <w:sz w:val="20"/>
          <w:szCs w:val="20"/>
        </w:rPr>
        <w:t xml:space="preserve">2001,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when it </w:t>
      </w:r>
      <w:r>
        <w:rPr>
          <w:rFonts w:ascii="Arial" w:hAnsi="Arial" w:cs="Arial"/>
          <w:color w:val="000000"/>
          <w:sz w:val="20"/>
          <w:szCs w:val="20"/>
        </w:rPr>
        <w:t>establish</w:t>
      </w:r>
      <w:r w:rsidR="00621562"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 xml:space="preserve"> a Level I DR program</w:t>
      </w:r>
      <w:r w:rsidR="00707648" w:rsidRPr="002C5432">
        <w:rPr>
          <w:rFonts w:ascii="Arial" w:hAnsi="Arial" w:cs="Arial"/>
          <w:color w:val="000000"/>
          <w:sz w:val="20"/>
          <w:szCs w:val="20"/>
        </w:rPr>
        <w:t xml:space="preserve">.  </w:t>
      </w:r>
      <w:r w:rsidR="0077775C">
        <w:rPr>
          <w:rFonts w:ascii="Arial" w:hAnsi="Arial" w:cs="Arial"/>
          <w:color w:val="000000"/>
          <w:sz w:val="20"/>
          <w:szCs w:val="20"/>
        </w:rPr>
        <w:t>With over 76 million DRs outstanding, Norilsk Nickel is an extremely widely</w:t>
      </w:r>
      <w:r w:rsidR="00621562">
        <w:rPr>
          <w:rFonts w:ascii="Arial" w:hAnsi="Arial" w:cs="Arial"/>
          <w:color w:val="000000"/>
          <w:sz w:val="20"/>
          <w:szCs w:val="20"/>
        </w:rPr>
        <w:t>-</w:t>
      </w:r>
      <w:r w:rsidR="0077775C">
        <w:rPr>
          <w:rFonts w:ascii="Arial" w:hAnsi="Arial" w:cs="Arial"/>
          <w:color w:val="000000"/>
          <w:sz w:val="20"/>
          <w:szCs w:val="20"/>
        </w:rPr>
        <w:t>held DR in international capital markets.</w:t>
      </w:r>
    </w:p>
    <w:p w:rsid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Norilsk Nickel’s DR program is incredibly robust, the Company also seeks to be a leader in best-practice investor relations and to set standards for communications, transparency, and disclosure.  The Bank of New York Mellon has been pleased to assist Norilsk Nickel’s efforts in this regard in a number of ways</w:t>
      </w:r>
      <w:r w:rsidR="00D04659">
        <w:rPr>
          <w:rFonts w:ascii="Arial" w:hAnsi="Arial" w:cs="Arial"/>
          <w:color w:val="000000"/>
          <w:sz w:val="20"/>
          <w:szCs w:val="20"/>
        </w:rPr>
        <w:t xml:space="preserve"> over the past year</w:t>
      </w:r>
      <w:r w:rsidR="00621562">
        <w:rPr>
          <w:rFonts w:ascii="Arial" w:hAnsi="Arial" w:cs="Arial"/>
          <w:color w:val="000000"/>
          <w:sz w:val="20"/>
          <w:szCs w:val="20"/>
        </w:rPr>
        <w:t>.</w:t>
      </w:r>
    </w:p>
    <w:p w:rsidR="00D04659" w:rsidRDefault="00D04659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t>Web Review</w:t>
      </w:r>
    </w:p>
    <w:p w:rsidR="0077775C" w:rsidRDefault="00474ED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Bank of New York Mellon </w:t>
      </w:r>
      <w:r w:rsidR="00556361">
        <w:rPr>
          <w:rFonts w:ascii="Arial" w:hAnsi="Arial" w:cs="Arial"/>
          <w:color w:val="000000"/>
          <w:sz w:val="20"/>
          <w:szCs w:val="20"/>
        </w:rPr>
        <w:t xml:space="preserve">provided Norilsk Nickel with information and statistics geared towards understanding the importance of </w:t>
      </w:r>
      <w:r w:rsidR="00541C32">
        <w:rPr>
          <w:rFonts w:ascii="Arial" w:hAnsi="Arial" w:cs="Arial"/>
          <w:color w:val="000000"/>
          <w:sz w:val="20"/>
          <w:szCs w:val="20"/>
        </w:rPr>
        <w:t xml:space="preserve">its </w:t>
      </w:r>
      <w:r w:rsidR="00556361">
        <w:rPr>
          <w:rFonts w:ascii="Arial" w:hAnsi="Arial" w:cs="Arial"/>
          <w:color w:val="000000"/>
          <w:sz w:val="20"/>
          <w:szCs w:val="20"/>
        </w:rPr>
        <w:t>IR website to the investment community. We then au</w:t>
      </w:r>
      <w:r>
        <w:rPr>
          <w:rFonts w:ascii="Arial" w:hAnsi="Arial" w:cs="Arial"/>
          <w:color w:val="000000"/>
          <w:sz w:val="20"/>
          <w:szCs w:val="20"/>
        </w:rPr>
        <w:t xml:space="preserve">dited Norilsk Nickel’s website to benchmark </w:t>
      </w:r>
      <w:r w:rsidR="007B2B51">
        <w:rPr>
          <w:rFonts w:ascii="Arial" w:hAnsi="Arial" w:cs="Arial"/>
          <w:color w:val="000000"/>
          <w:sz w:val="20"/>
          <w:szCs w:val="20"/>
        </w:rPr>
        <w:t xml:space="preserve">it </w:t>
      </w:r>
      <w:r>
        <w:rPr>
          <w:rFonts w:ascii="Arial" w:hAnsi="Arial" w:cs="Arial"/>
          <w:color w:val="000000"/>
          <w:sz w:val="20"/>
          <w:szCs w:val="20"/>
        </w:rPr>
        <w:t>against a list of 30+ criteria</w:t>
      </w:r>
      <w:r w:rsidR="00556361">
        <w:rPr>
          <w:rFonts w:ascii="Arial" w:hAnsi="Arial" w:cs="Arial"/>
          <w:color w:val="000000"/>
          <w:sz w:val="20"/>
          <w:szCs w:val="20"/>
        </w:rPr>
        <w:t xml:space="preserve"> deemed factors in the utility of the website as an IR tool. </w:t>
      </w:r>
    </w:p>
    <w:p w:rsidR="00C5386E" w:rsidRDefault="00C5386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5386E" w:rsidRDefault="00DA072F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Furthermore, </w:t>
      </w:r>
      <w:r w:rsidR="00C5386E">
        <w:rPr>
          <w:rFonts w:ascii="Arial" w:hAnsi="Arial" w:cs="Arial"/>
          <w:color w:val="000000"/>
          <w:sz w:val="20"/>
          <w:szCs w:val="20"/>
        </w:rPr>
        <w:t xml:space="preserve">The Bank of New York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Mellon </w:t>
      </w:r>
      <w:r w:rsidR="00C5386E">
        <w:rPr>
          <w:rFonts w:ascii="Arial" w:hAnsi="Arial" w:cs="Arial"/>
          <w:color w:val="000000"/>
          <w:sz w:val="20"/>
          <w:szCs w:val="20"/>
        </w:rPr>
        <w:t xml:space="preserve">leveraged </w:t>
      </w:r>
      <w:r w:rsidR="007B2B51">
        <w:rPr>
          <w:rFonts w:ascii="Arial" w:hAnsi="Arial" w:cs="Arial"/>
          <w:color w:val="000000"/>
          <w:sz w:val="20"/>
          <w:szCs w:val="20"/>
        </w:rPr>
        <w:t xml:space="preserve">its </w:t>
      </w:r>
      <w:r w:rsidR="00C5386E">
        <w:rPr>
          <w:rFonts w:ascii="Arial" w:hAnsi="Arial" w:cs="Arial"/>
          <w:color w:val="000000"/>
          <w:sz w:val="20"/>
          <w:szCs w:val="20"/>
        </w:rPr>
        <w:t xml:space="preserve">contacts in the investment community to speak with sector-specific fund managers and analysts to get their direct feedback on which mining company websites they found most useful and why.  This insight gave </w:t>
      </w:r>
      <w:smartTag w:uri="urn:schemas-microsoft-com:office:smarttags" w:element="City">
        <w:smartTag w:uri="urn:schemas-microsoft-com:office:smarttags" w:element="place">
          <w:r w:rsidR="00C5386E">
            <w:rPr>
              <w:rFonts w:ascii="Arial" w:hAnsi="Arial" w:cs="Arial"/>
              <w:color w:val="000000"/>
              <w:sz w:val="20"/>
              <w:szCs w:val="20"/>
            </w:rPr>
            <w:t>Norilsk</w:t>
          </w:r>
        </w:smartTag>
      </w:smartTag>
      <w:r w:rsidR="00C5386E">
        <w:rPr>
          <w:rFonts w:ascii="Arial" w:hAnsi="Arial" w:cs="Arial"/>
          <w:color w:val="000000"/>
          <w:sz w:val="20"/>
          <w:szCs w:val="20"/>
        </w:rPr>
        <w:t xml:space="preserve"> specific examples of the amount and type of information disclosed on the </w:t>
      </w:r>
      <w:r w:rsidR="00621562">
        <w:rPr>
          <w:rFonts w:ascii="Arial" w:hAnsi="Arial" w:cs="Arial"/>
          <w:color w:val="000000"/>
          <w:sz w:val="20"/>
          <w:szCs w:val="20"/>
        </w:rPr>
        <w:t>W</w:t>
      </w:r>
      <w:r w:rsidR="00C5386E">
        <w:rPr>
          <w:rFonts w:ascii="Arial" w:hAnsi="Arial" w:cs="Arial"/>
          <w:color w:val="000000"/>
          <w:sz w:val="20"/>
          <w:szCs w:val="20"/>
        </w:rPr>
        <w:t xml:space="preserve">eb, as well as </w:t>
      </w:r>
      <w:r w:rsidR="00AD5A7D">
        <w:rPr>
          <w:rFonts w:ascii="Arial" w:hAnsi="Arial" w:cs="Arial"/>
          <w:color w:val="000000"/>
          <w:sz w:val="20"/>
          <w:szCs w:val="20"/>
        </w:rPr>
        <w:t xml:space="preserve">a sense of </w:t>
      </w:r>
      <w:r w:rsidR="00C5386E">
        <w:rPr>
          <w:rFonts w:ascii="Arial" w:hAnsi="Arial" w:cs="Arial"/>
          <w:color w:val="000000"/>
          <w:sz w:val="20"/>
          <w:szCs w:val="20"/>
        </w:rPr>
        <w:t>the expectations for operational and financial granularity and the opportunity cost faced by companies with insufficient timing or amount of information disclosure in a crowded marketplace.</w:t>
      </w:r>
    </w:p>
    <w:p w:rsidR="00556361" w:rsidRDefault="00556361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P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t>Presentation Review</w:t>
      </w:r>
    </w:p>
    <w:p w:rsidR="006B40EE" w:rsidRDefault="006B40EE" w:rsidP="006B40EE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Norilsk Nickel was preparing </w:t>
      </w:r>
      <w:r w:rsidR="007B2B51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 xml:space="preserve">next roadshow presentation, The Bank of New York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Mellon </w:t>
      </w:r>
      <w:r>
        <w:rPr>
          <w:rFonts w:ascii="Arial" w:hAnsi="Arial" w:cs="Arial"/>
          <w:color w:val="000000"/>
          <w:sz w:val="20"/>
          <w:szCs w:val="20"/>
        </w:rPr>
        <w:t xml:space="preserve">undertook a presentation review.  </w:t>
      </w:r>
      <w:r w:rsidR="007B2B51"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1562">
        <w:rPr>
          <w:rFonts w:ascii="Arial" w:hAnsi="Arial" w:cs="Arial"/>
          <w:color w:val="000000"/>
          <w:sz w:val="20"/>
          <w:szCs w:val="20"/>
        </w:rPr>
        <w:t>judged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Norilsk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’s materials measured on general principles such as l</w:t>
      </w:r>
      <w:r>
        <w:rPr>
          <w:rFonts w:ascii="Helv" w:hAnsi="Helv" w:cs="Helv"/>
          <w:color w:val="000000"/>
          <w:sz w:val="20"/>
          <w:szCs w:val="20"/>
        </w:rPr>
        <w:t>ength, titles, consistency, slide balance, overview, key investment message, DR information and contact details.</w:t>
      </w:r>
    </w:p>
    <w:p w:rsidR="006B40EE" w:rsidRDefault="006B40E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2638A" w:rsidRDefault="0002638A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77775C">
        <w:rPr>
          <w:rFonts w:ascii="Arial" w:hAnsi="Arial" w:cs="Arial"/>
          <w:b/>
          <w:color w:val="000000"/>
          <w:sz w:val="20"/>
          <w:szCs w:val="20"/>
        </w:rPr>
        <w:t>nvestor Relations Firm Recommendations</w:t>
      </w:r>
    </w:p>
    <w:p w:rsidR="002F7F6E" w:rsidRDefault="002F7F6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Bank of New York Mellon provided Norilsk Nickel with </w:t>
      </w:r>
      <w:r w:rsidR="001F2CCE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 xml:space="preserve">suggestions of which IR firms might assist </w:t>
      </w:r>
      <w:r w:rsidR="001F2CCE">
        <w:rPr>
          <w:rFonts w:ascii="Arial" w:hAnsi="Arial" w:cs="Arial"/>
          <w:color w:val="000000"/>
          <w:sz w:val="20"/>
          <w:szCs w:val="20"/>
        </w:rPr>
        <w:t xml:space="preserve">it 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r w:rsidR="001F2CCE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 xml:space="preserve">creation of IR materials. 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We </w:t>
      </w:r>
      <w:r>
        <w:rPr>
          <w:rFonts w:ascii="Arial" w:hAnsi="Arial" w:cs="Arial"/>
          <w:color w:val="000000"/>
          <w:sz w:val="20"/>
          <w:szCs w:val="20"/>
        </w:rPr>
        <w:t xml:space="preserve">recommended a combination of firms with world-wide reputations for excellence,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Russia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and/or emerging markets expertise, and mining/materials sector focus. </w:t>
      </w:r>
    </w:p>
    <w:p w:rsidR="002F7F6E" w:rsidRDefault="002F7F6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2638A" w:rsidRDefault="002F7F6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Additionally, we identified a regional IR firm with mining expertise led and staffed by IR professionals with in-house mining company IR experience.  We performed due diligence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by </w:t>
      </w:r>
      <w:r>
        <w:rPr>
          <w:rFonts w:ascii="Arial" w:hAnsi="Arial" w:cs="Arial"/>
          <w:color w:val="000000"/>
          <w:sz w:val="20"/>
          <w:szCs w:val="20"/>
        </w:rPr>
        <w:t xml:space="preserve">reaching out to common clients and contacts </w:t>
      </w:r>
      <w:r w:rsidR="00621562">
        <w:rPr>
          <w:rFonts w:ascii="Arial" w:hAnsi="Arial" w:cs="Arial"/>
          <w:color w:val="000000"/>
          <w:sz w:val="20"/>
          <w:szCs w:val="20"/>
        </w:rPr>
        <w:t>and researched</w:t>
      </w:r>
      <w:r>
        <w:rPr>
          <w:rFonts w:ascii="Arial" w:hAnsi="Arial" w:cs="Arial"/>
          <w:color w:val="000000"/>
          <w:sz w:val="20"/>
          <w:szCs w:val="20"/>
        </w:rPr>
        <w:t xml:space="preserve"> established pricing. </w:t>
      </w:r>
      <w:r w:rsidR="007B2B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Because of this IR firm’s location in an emerging market, the cost-basis for project work was up to 75% less that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New York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London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, 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Moscow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rates.</w:t>
      </w:r>
    </w:p>
    <w:p w:rsidR="006B40EE" w:rsidRDefault="006B40EE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P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t>DR Frequently</w:t>
      </w:r>
      <w:r w:rsidR="006215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7775C">
        <w:rPr>
          <w:rFonts w:ascii="Arial" w:hAnsi="Arial" w:cs="Arial"/>
          <w:b/>
          <w:color w:val="000000"/>
          <w:sz w:val="20"/>
          <w:szCs w:val="20"/>
        </w:rPr>
        <w:t>Asked Questions</w:t>
      </w:r>
    </w:p>
    <w:p w:rsidR="00FC2695" w:rsidRDefault="00FC2695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Bank of New York Mellon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created </w:t>
      </w:r>
      <w:r>
        <w:rPr>
          <w:rFonts w:ascii="Arial" w:hAnsi="Arial" w:cs="Arial"/>
          <w:color w:val="000000"/>
          <w:sz w:val="20"/>
          <w:szCs w:val="20"/>
        </w:rPr>
        <w:t xml:space="preserve">a Frequently Asked Questions document for Norilsk Nickel to use to address questions </w:t>
      </w:r>
      <w:r w:rsidR="00621562">
        <w:rPr>
          <w:rFonts w:ascii="Arial" w:hAnsi="Arial" w:cs="Arial"/>
          <w:color w:val="000000"/>
          <w:sz w:val="20"/>
          <w:szCs w:val="20"/>
        </w:rPr>
        <w:t xml:space="preserve">about </w:t>
      </w:r>
      <w:r>
        <w:rPr>
          <w:rFonts w:ascii="Arial" w:hAnsi="Arial" w:cs="Arial"/>
          <w:color w:val="000000"/>
          <w:sz w:val="20"/>
          <w:szCs w:val="20"/>
        </w:rPr>
        <w:t xml:space="preserve">DRs and </w:t>
      </w:r>
      <w:r w:rsidR="007B2B51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 xml:space="preserve">own DR program, primarily geared towards the needs of retail investors.  This </w:t>
      </w:r>
      <w:r w:rsidR="0054703D">
        <w:rPr>
          <w:rFonts w:ascii="Arial" w:hAnsi="Arial" w:cs="Arial"/>
          <w:color w:val="000000"/>
          <w:sz w:val="20"/>
          <w:szCs w:val="20"/>
        </w:rPr>
        <w:t xml:space="preserve">document </w:t>
      </w:r>
      <w:r>
        <w:rPr>
          <w:rFonts w:ascii="Arial" w:hAnsi="Arial" w:cs="Arial"/>
          <w:color w:val="000000"/>
          <w:sz w:val="20"/>
          <w:szCs w:val="20"/>
        </w:rPr>
        <w:t>included questions such as:</w:t>
      </w:r>
    </w:p>
    <w:p w:rsidR="00FC2695" w:rsidRPr="00FC2695" w:rsidRDefault="00FC2695" w:rsidP="000D143F">
      <w:pPr>
        <w:ind w:left="360"/>
        <w:jc w:val="both"/>
        <w:rPr>
          <w:sz w:val="20"/>
          <w:szCs w:val="20"/>
        </w:rPr>
      </w:pPr>
      <w:bookmarkStart w:id="1" w:name="51"/>
    </w:p>
    <w:p w:rsidR="00FC2695" w:rsidRPr="00FC2695" w:rsidRDefault="00FC2695" w:rsidP="00FC2695">
      <w:pPr>
        <w:numPr>
          <w:ilvl w:val="0"/>
          <w:numId w:val="8"/>
        </w:numPr>
        <w:jc w:val="both"/>
        <w:rPr>
          <w:sz w:val="20"/>
          <w:szCs w:val="20"/>
        </w:rPr>
      </w:pPr>
      <w:r w:rsidRPr="00521A41">
        <w:rPr>
          <w:rFonts w:ascii="Arial" w:hAnsi="Arial" w:cs="Arial"/>
          <w:bCs/>
          <w:sz w:val="20"/>
          <w:szCs w:val="20"/>
        </w:rPr>
        <w:t>Can I b</w:t>
      </w:r>
      <w:bookmarkEnd w:id="1"/>
      <w:r w:rsidRPr="00521A41">
        <w:rPr>
          <w:rFonts w:ascii="Arial" w:hAnsi="Arial" w:cs="Arial"/>
          <w:bCs/>
          <w:sz w:val="20"/>
          <w:szCs w:val="20"/>
        </w:rPr>
        <w:t xml:space="preserve">uy Norilsk Nickel </w:t>
      </w:r>
      <w:r w:rsidRPr="00521A41">
        <w:rPr>
          <w:rFonts w:ascii="Arial" w:hAnsi="Arial" w:cs="Arial"/>
          <w:sz w:val="20"/>
          <w:szCs w:val="20"/>
        </w:rPr>
        <w:t>ADRs through a broker j</w:t>
      </w:r>
      <w:r>
        <w:rPr>
          <w:rFonts w:ascii="Arial" w:hAnsi="Arial" w:cs="Arial"/>
          <w:sz w:val="20"/>
          <w:szCs w:val="20"/>
        </w:rPr>
        <w:t>ust</w:t>
      </w:r>
      <w:r w:rsidRPr="00521A41">
        <w:rPr>
          <w:rFonts w:ascii="Arial" w:hAnsi="Arial" w:cs="Arial"/>
          <w:sz w:val="20"/>
          <w:szCs w:val="20"/>
        </w:rPr>
        <w:t xml:space="preserve"> as you would buy </w:t>
      </w:r>
      <w:smartTag w:uri="urn:schemas-microsoft-com:office:smarttags" w:element="country-region">
        <w:smartTag w:uri="urn:schemas-microsoft-com:office:smarttags" w:element="place">
          <w:r w:rsidRPr="00521A41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521A41">
        <w:rPr>
          <w:rFonts w:ascii="Arial" w:hAnsi="Arial" w:cs="Arial"/>
          <w:sz w:val="20"/>
          <w:szCs w:val="20"/>
        </w:rPr>
        <w:t xml:space="preserve"> securities?</w:t>
      </w:r>
    </w:p>
    <w:p w:rsidR="00FC2695" w:rsidRDefault="00FC2695" w:rsidP="00FC26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A41">
        <w:rPr>
          <w:rFonts w:ascii="Arial" w:hAnsi="Arial" w:cs="Arial"/>
          <w:sz w:val="20"/>
          <w:szCs w:val="20"/>
        </w:rPr>
        <w:t xml:space="preserve">How can I </w:t>
      </w:r>
      <w:r w:rsidR="00621562">
        <w:rPr>
          <w:rFonts w:ascii="Arial" w:hAnsi="Arial" w:cs="Arial"/>
          <w:sz w:val="20"/>
          <w:szCs w:val="20"/>
        </w:rPr>
        <w:t>learn</w:t>
      </w:r>
      <w:r w:rsidRPr="00521A41">
        <w:rPr>
          <w:rFonts w:ascii="Arial" w:hAnsi="Arial" w:cs="Arial"/>
          <w:sz w:val="20"/>
          <w:szCs w:val="20"/>
        </w:rPr>
        <w:t xml:space="preserve"> Norilsk Nickel ADR dividend information? </w:t>
      </w:r>
    </w:p>
    <w:p w:rsidR="00FC2695" w:rsidRPr="00521A41" w:rsidRDefault="00FC2695" w:rsidP="00FC26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A41">
        <w:rPr>
          <w:rFonts w:ascii="Arial" w:hAnsi="Arial" w:cs="Arial"/>
          <w:sz w:val="20"/>
          <w:szCs w:val="20"/>
        </w:rPr>
        <w:t xml:space="preserve">How often will I receive account statements? </w:t>
      </w:r>
    </w:p>
    <w:p w:rsidR="00FC2695" w:rsidRPr="00521A41" w:rsidRDefault="00FC2695" w:rsidP="00FC26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A41">
        <w:rPr>
          <w:rFonts w:ascii="Arial" w:hAnsi="Arial" w:cs="Arial"/>
          <w:sz w:val="20"/>
          <w:szCs w:val="20"/>
        </w:rPr>
        <w:t xml:space="preserve">Who will vote the ADRs at the Shareholders Meeting? </w:t>
      </w:r>
    </w:p>
    <w:p w:rsid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21562" w:rsidRDefault="00621562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621562" w:rsidRDefault="00621562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7775C" w:rsidRP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lastRenderedPageBreak/>
        <w:t>Annual Report Rev</w:t>
      </w:r>
      <w:r w:rsidR="00D04659">
        <w:rPr>
          <w:rFonts w:ascii="Arial" w:hAnsi="Arial" w:cs="Arial"/>
          <w:b/>
          <w:color w:val="000000"/>
          <w:sz w:val="20"/>
          <w:szCs w:val="20"/>
        </w:rPr>
        <w:t>i</w:t>
      </w:r>
      <w:r w:rsidRPr="0077775C">
        <w:rPr>
          <w:rFonts w:ascii="Arial" w:hAnsi="Arial" w:cs="Arial"/>
          <w:b/>
          <w:color w:val="000000"/>
          <w:sz w:val="20"/>
          <w:szCs w:val="20"/>
        </w:rPr>
        <w:t>ew</w:t>
      </w:r>
    </w:p>
    <w:p w:rsidR="0077775C" w:rsidRDefault="00D04659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Upon request, The Bank of New York </w:t>
      </w:r>
      <w:r w:rsidR="00046702">
        <w:rPr>
          <w:rFonts w:ascii="Arial" w:hAnsi="Arial" w:cs="Arial"/>
          <w:color w:val="000000"/>
          <w:sz w:val="20"/>
          <w:szCs w:val="20"/>
        </w:rPr>
        <w:t xml:space="preserve">Mellon </w:t>
      </w:r>
      <w:r>
        <w:rPr>
          <w:rFonts w:ascii="Arial" w:hAnsi="Arial" w:cs="Arial"/>
          <w:color w:val="000000"/>
          <w:sz w:val="20"/>
          <w:szCs w:val="20"/>
        </w:rPr>
        <w:t xml:space="preserve">undertook a review of Norilsk Nickel’s annual report. </w:t>
      </w:r>
      <w:r w:rsidR="0004670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 analyzed the document based on two criteria</w:t>
      </w:r>
      <w:r w:rsidR="00046702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1) </w:t>
      </w:r>
      <w:r w:rsidR="00046702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nformation provided about DRs and Norilsk Nickel’s specific DR program, and 2) international best-practice standards for disclosure.  This resulted in a number of suggestions</w:t>
      </w:r>
      <w:r w:rsidR="00046702">
        <w:rPr>
          <w:rFonts w:ascii="Arial" w:hAnsi="Arial" w:cs="Arial"/>
          <w:color w:val="000000"/>
          <w:sz w:val="20"/>
          <w:szCs w:val="20"/>
        </w:rPr>
        <w:t>:</w:t>
      </w:r>
    </w:p>
    <w:p w:rsidR="00D04659" w:rsidRDefault="00046702" w:rsidP="00D0465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</w:t>
      </w:r>
      <w:r w:rsidR="00E808D6">
        <w:rPr>
          <w:rFonts w:ascii="Arial" w:hAnsi="Arial" w:cs="Arial"/>
          <w:color w:val="000000"/>
          <w:sz w:val="20"/>
          <w:szCs w:val="20"/>
        </w:rPr>
        <w:t xml:space="preserve">offered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D04659">
        <w:rPr>
          <w:rFonts w:ascii="Arial" w:hAnsi="Arial" w:cs="Arial"/>
          <w:color w:val="000000"/>
          <w:sz w:val="20"/>
          <w:szCs w:val="20"/>
        </w:rPr>
        <w:t>elected examples of peer company and global market leader annual reports, identifying how DR information is presented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4659" w:rsidRDefault="00E808D6" w:rsidP="00D0465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suggested </w:t>
      </w:r>
      <w:r w:rsidR="00D04659">
        <w:rPr>
          <w:rFonts w:ascii="Arial" w:hAnsi="Arial" w:cs="Arial"/>
          <w:color w:val="000000"/>
          <w:sz w:val="20"/>
          <w:szCs w:val="20"/>
        </w:rPr>
        <w:t>inclu</w:t>
      </w:r>
      <w:r>
        <w:rPr>
          <w:rFonts w:ascii="Arial" w:hAnsi="Arial" w:cs="Arial"/>
          <w:color w:val="000000"/>
          <w:sz w:val="20"/>
          <w:szCs w:val="20"/>
        </w:rPr>
        <w:t>ding</w:t>
      </w:r>
      <w:r w:rsidR="00D04659">
        <w:rPr>
          <w:rFonts w:ascii="Arial" w:hAnsi="Arial" w:cs="Arial"/>
          <w:color w:val="000000"/>
          <w:sz w:val="20"/>
          <w:szCs w:val="20"/>
        </w:rPr>
        <w:t xml:space="preserve"> a section </w:t>
      </w:r>
      <w:r w:rsidR="00CC7360">
        <w:rPr>
          <w:rFonts w:ascii="Arial" w:hAnsi="Arial" w:cs="Arial"/>
          <w:color w:val="000000"/>
          <w:sz w:val="20"/>
          <w:szCs w:val="20"/>
        </w:rPr>
        <w:t xml:space="preserve">on </w:t>
      </w:r>
      <w:r w:rsidR="00D04659">
        <w:rPr>
          <w:rFonts w:ascii="Arial" w:hAnsi="Arial" w:cs="Arial"/>
          <w:color w:val="000000"/>
          <w:sz w:val="20"/>
          <w:szCs w:val="20"/>
        </w:rPr>
        <w:t>DR information, including the FAQs previously provided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D04659">
        <w:rPr>
          <w:rFonts w:ascii="Arial" w:hAnsi="Arial" w:cs="Arial"/>
          <w:color w:val="000000"/>
          <w:sz w:val="20"/>
          <w:szCs w:val="20"/>
        </w:rPr>
        <w:t xml:space="preserve"> with The Bank of New York Mellon </w:t>
      </w:r>
      <w:r>
        <w:rPr>
          <w:rFonts w:ascii="Arial" w:hAnsi="Arial" w:cs="Arial"/>
          <w:color w:val="000000"/>
          <w:sz w:val="20"/>
          <w:szCs w:val="20"/>
        </w:rPr>
        <w:t xml:space="preserve">contact information </w:t>
      </w:r>
      <w:r w:rsidR="00D04659">
        <w:rPr>
          <w:rFonts w:ascii="Arial" w:hAnsi="Arial" w:cs="Arial"/>
          <w:color w:val="000000"/>
          <w:sz w:val="20"/>
          <w:szCs w:val="20"/>
        </w:rPr>
        <w:t>for investors, analysts or other market participants with further DR-centric questions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4659" w:rsidRPr="00D04659" w:rsidRDefault="00E808D6" w:rsidP="00D0465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 s</w:t>
      </w:r>
      <w:r w:rsidR="00D04659">
        <w:rPr>
          <w:rFonts w:ascii="Helv" w:hAnsi="Helv" w:cs="Helv"/>
          <w:color w:val="000000"/>
          <w:sz w:val="20"/>
          <w:szCs w:val="20"/>
        </w:rPr>
        <w:t>uggest</w:t>
      </w:r>
      <w:r>
        <w:rPr>
          <w:rFonts w:ascii="Helv" w:hAnsi="Helv" w:cs="Helv"/>
          <w:color w:val="000000"/>
          <w:sz w:val="20"/>
          <w:szCs w:val="20"/>
        </w:rPr>
        <w:t>ed</w:t>
      </w:r>
      <w:r w:rsidR="00D04659">
        <w:rPr>
          <w:rFonts w:ascii="Helv" w:hAnsi="Helv" w:cs="Helv"/>
          <w:color w:val="000000"/>
          <w:sz w:val="20"/>
          <w:szCs w:val="20"/>
        </w:rPr>
        <w:t xml:space="preserve"> increased disclosure </w:t>
      </w:r>
      <w:r w:rsidR="008025A1">
        <w:rPr>
          <w:rFonts w:ascii="Helv" w:hAnsi="Helv" w:cs="Helv"/>
          <w:color w:val="000000"/>
          <w:sz w:val="20"/>
          <w:szCs w:val="20"/>
        </w:rPr>
        <w:t xml:space="preserve">on </w:t>
      </w:r>
      <w:r w:rsidR="00D04659">
        <w:rPr>
          <w:rFonts w:ascii="Helv" w:hAnsi="Helv" w:cs="Helv"/>
          <w:color w:val="000000"/>
          <w:sz w:val="20"/>
          <w:szCs w:val="20"/>
        </w:rPr>
        <w:t xml:space="preserve">dividend payments, taxation of dividends and capital gains, significant results of votes from the previous AGM, </w:t>
      </w:r>
      <w:r>
        <w:rPr>
          <w:rFonts w:ascii="Helv" w:hAnsi="Helv" w:cs="Helv"/>
          <w:color w:val="000000"/>
          <w:sz w:val="20"/>
          <w:szCs w:val="20"/>
        </w:rPr>
        <w:t xml:space="preserve">a </w:t>
      </w:r>
      <w:r w:rsidR="00D04659">
        <w:rPr>
          <w:rFonts w:ascii="Helv" w:hAnsi="Helv" w:cs="Helv"/>
          <w:color w:val="000000"/>
          <w:sz w:val="20"/>
          <w:szCs w:val="20"/>
        </w:rPr>
        <w:t xml:space="preserve">summary of corporate action activity, and </w:t>
      </w:r>
      <w:r>
        <w:rPr>
          <w:rFonts w:ascii="Helv" w:hAnsi="Helv" w:cs="Helv"/>
          <w:color w:val="000000"/>
          <w:sz w:val="20"/>
          <w:szCs w:val="20"/>
        </w:rPr>
        <w:t xml:space="preserve">a </w:t>
      </w:r>
      <w:r w:rsidR="00D04659">
        <w:rPr>
          <w:rFonts w:ascii="Helv" w:hAnsi="Helv" w:cs="Helv"/>
          <w:color w:val="000000"/>
          <w:sz w:val="20"/>
          <w:szCs w:val="20"/>
        </w:rPr>
        <w:t>description of foreign ownership restrictions.</w:t>
      </w:r>
    </w:p>
    <w:p w:rsidR="00D04659" w:rsidRDefault="00E808D6" w:rsidP="00D0465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recommended </w:t>
      </w:r>
      <w:r w:rsidR="00B64C3B">
        <w:rPr>
          <w:rFonts w:ascii="Arial" w:hAnsi="Arial" w:cs="Arial"/>
          <w:color w:val="000000"/>
          <w:sz w:val="20"/>
          <w:szCs w:val="20"/>
        </w:rPr>
        <w:t>to</w:t>
      </w:r>
      <w:r w:rsidR="00D04659">
        <w:rPr>
          <w:rFonts w:ascii="Arial" w:hAnsi="Arial" w:cs="Arial"/>
          <w:color w:val="000000"/>
          <w:sz w:val="20"/>
          <w:szCs w:val="20"/>
        </w:rPr>
        <w:t xml:space="preserve"> Norilsk Nickel </w:t>
      </w:r>
      <w:r>
        <w:rPr>
          <w:rFonts w:ascii="Arial" w:hAnsi="Arial" w:cs="Arial"/>
          <w:color w:val="000000"/>
          <w:sz w:val="20"/>
          <w:szCs w:val="20"/>
        </w:rPr>
        <w:t>that</w:t>
      </w:r>
      <w:r w:rsidR="00D04659">
        <w:rPr>
          <w:rFonts w:ascii="Arial" w:hAnsi="Arial" w:cs="Arial"/>
          <w:color w:val="000000"/>
          <w:sz w:val="20"/>
          <w:szCs w:val="20"/>
        </w:rPr>
        <w:t xml:space="preserve"> DR holders </w:t>
      </w:r>
      <w:r>
        <w:rPr>
          <w:rFonts w:ascii="Arial" w:hAnsi="Arial" w:cs="Arial"/>
          <w:color w:val="000000"/>
          <w:sz w:val="20"/>
          <w:szCs w:val="20"/>
        </w:rPr>
        <w:t xml:space="preserve">be treated </w:t>
      </w:r>
      <w:r w:rsidR="00B64C3B"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z w:val="20"/>
          <w:szCs w:val="20"/>
        </w:rPr>
        <w:t xml:space="preserve"> that they enjoy </w:t>
      </w:r>
      <w:r w:rsidR="00D04659">
        <w:rPr>
          <w:rFonts w:ascii="Arial" w:hAnsi="Arial" w:cs="Arial"/>
          <w:color w:val="000000"/>
          <w:sz w:val="20"/>
          <w:szCs w:val="20"/>
        </w:rPr>
        <w:t>the rights of ordinary shareholders.</w:t>
      </w:r>
    </w:p>
    <w:p w:rsidR="0054703D" w:rsidRDefault="0054703D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P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t>Market Feedback</w:t>
      </w:r>
    </w:p>
    <w:p w:rsidR="00777CDF" w:rsidRPr="0054703D" w:rsidRDefault="0054703D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Bank of New York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Mellon </w:t>
      </w:r>
      <w:r>
        <w:rPr>
          <w:rFonts w:ascii="Arial" w:hAnsi="Arial" w:cs="Arial"/>
          <w:color w:val="000000"/>
          <w:sz w:val="20"/>
          <w:szCs w:val="20"/>
        </w:rPr>
        <w:t xml:space="preserve">periodically relays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to Norilsk Nickel </w:t>
      </w:r>
      <w:r>
        <w:rPr>
          <w:rFonts w:ascii="Arial" w:hAnsi="Arial" w:cs="Arial"/>
          <w:color w:val="000000"/>
          <w:sz w:val="20"/>
          <w:szCs w:val="20"/>
        </w:rPr>
        <w:t xml:space="preserve">key commentary on the mining sector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feedback from investment community contacts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who </w:t>
      </w:r>
      <w:r>
        <w:rPr>
          <w:rFonts w:ascii="Arial" w:hAnsi="Arial" w:cs="Arial"/>
          <w:color w:val="000000"/>
          <w:sz w:val="20"/>
          <w:szCs w:val="20"/>
        </w:rPr>
        <w:t xml:space="preserve">would like to meet with Norilsk Nickel or be added to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>distribution list.</w:t>
      </w:r>
    </w:p>
    <w:p w:rsid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775C" w:rsidRPr="0077775C" w:rsidRDefault="0077775C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77775C">
        <w:rPr>
          <w:rFonts w:ascii="Arial" w:hAnsi="Arial" w:cs="Arial"/>
          <w:b/>
          <w:color w:val="000000"/>
          <w:sz w:val="20"/>
          <w:szCs w:val="20"/>
        </w:rPr>
        <w:t>Global Communications Firm Recommendations</w:t>
      </w:r>
    </w:p>
    <w:p w:rsidR="0054703D" w:rsidRDefault="0054703D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Norilsk Nickel</w:t>
      </w:r>
      <w:r w:rsidR="00B64C3B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request and in concert with the high level of M&amp;A activity in the mining sector, The Bank of New York Mellon canvassed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its </w:t>
      </w:r>
      <w:r>
        <w:rPr>
          <w:rFonts w:ascii="Arial" w:hAnsi="Arial" w:cs="Arial"/>
          <w:color w:val="000000"/>
          <w:sz w:val="20"/>
          <w:szCs w:val="20"/>
        </w:rPr>
        <w:t>contacts at top financial communications and media relations firms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 who</w:t>
      </w:r>
      <w:r>
        <w:rPr>
          <w:rFonts w:ascii="Arial" w:hAnsi="Arial" w:cs="Arial"/>
          <w:color w:val="000000"/>
          <w:sz w:val="20"/>
          <w:szCs w:val="20"/>
        </w:rPr>
        <w:t xml:space="preserve"> specializ</w:t>
      </w:r>
      <w:r w:rsidR="00B64C3B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in transaction communications.  We briefed Norilsk Nickel on these firms’ backgrounds and experience and provided </w:t>
      </w:r>
      <w:r w:rsidR="00B64C3B">
        <w:rPr>
          <w:rFonts w:ascii="Arial" w:hAnsi="Arial" w:cs="Arial"/>
          <w:color w:val="000000"/>
          <w:sz w:val="20"/>
          <w:szCs w:val="20"/>
        </w:rPr>
        <w:t xml:space="preserve">it </w:t>
      </w:r>
      <w:r>
        <w:rPr>
          <w:rFonts w:ascii="Arial" w:hAnsi="Arial" w:cs="Arial"/>
          <w:color w:val="000000"/>
          <w:sz w:val="20"/>
          <w:szCs w:val="20"/>
        </w:rPr>
        <w:t>with key contacts for future connections.</w:t>
      </w:r>
    </w:p>
    <w:p w:rsidR="0054703D" w:rsidRDefault="0054703D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54703D" w:rsidRPr="00D04659" w:rsidRDefault="0054703D" w:rsidP="0054703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D04659">
        <w:rPr>
          <w:rFonts w:ascii="Arial" w:hAnsi="Arial" w:cs="Arial"/>
          <w:b/>
          <w:color w:val="000000"/>
          <w:sz w:val="20"/>
          <w:szCs w:val="20"/>
        </w:rPr>
        <w:t>DR Training</w:t>
      </w:r>
    </w:p>
    <w:p w:rsidR="0077775C" w:rsidRDefault="0054703D" w:rsidP="0070764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Norilsk Nickel attends The Bank of New York Mellon’s annual training seminar for DR </w:t>
      </w:r>
      <w:r w:rsidR="00B64C3B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ssuers from the EEMEA region. Past IR</w:t>
      </w:r>
      <w:r w:rsidR="008025A1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related sessions have included</w:t>
      </w:r>
      <w:r w:rsidR="00E808D6">
        <w:rPr>
          <w:rFonts w:ascii="Arial" w:hAnsi="Arial" w:cs="Arial"/>
          <w:color w:val="000000"/>
          <w:sz w:val="20"/>
          <w:szCs w:val="20"/>
        </w:rPr>
        <w:t xml:space="preserve"> topics such as</w:t>
      </w:r>
      <w:r>
        <w:rPr>
          <w:rFonts w:ascii="Arial" w:hAnsi="Arial" w:cs="Arial"/>
          <w:color w:val="000000"/>
          <w:sz w:val="20"/>
          <w:szCs w:val="20"/>
        </w:rPr>
        <w:t xml:space="preserve"> “IR Best Practices” and “Global Crisis Communications.”</w:t>
      </w:r>
    </w:p>
    <w:p w:rsidR="00665C57" w:rsidRPr="002C5432" w:rsidRDefault="00665C57" w:rsidP="00707648">
      <w:pPr>
        <w:rPr>
          <w:rFonts w:ascii="Arial" w:hAnsi="Arial" w:cs="Arial"/>
          <w:color w:val="000000"/>
          <w:sz w:val="20"/>
          <w:szCs w:val="20"/>
        </w:rPr>
      </w:pPr>
    </w:p>
    <w:p w:rsidR="002C2A2C" w:rsidRPr="000D143F" w:rsidRDefault="002C2A2C" w:rsidP="002C5432">
      <w:bookmarkStart w:id="2" w:name="_GoBack"/>
      <w:bookmarkEnd w:id="0"/>
      <w:bookmarkEnd w:id="2"/>
    </w:p>
    <w:sectPr w:rsidR="002C2A2C" w:rsidRPr="000D143F" w:rsidSect="00707648">
      <w:pgSz w:w="12240" w:h="15840"/>
      <w:pgMar w:top="1440" w:right="1325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01" w:rsidRDefault="00BB1501">
      <w:r>
        <w:separator/>
      </w:r>
    </w:p>
  </w:endnote>
  <w:endnote w:type="continuationSeparator" w:id="0">
    <w:p w:rsidR="00BB1501" w:rsidRDefault="00BB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8A" w:rsidRDefault="002F6F8A" w:rsidP="002F6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F8A" w:rsidRDefault="002F6F8A" w:rsidP="002F6F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8A" w:rsidRDefault="002F6F8A" w:rsidP="002F6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B6B">
      <w:rPr>
        <w:rStyle w:val="PageNumber"/>
        <w:noProof/>
      </w:rPr>
      <w:t>3</w:t>
    </w:r>
    <w:r>
      <w:rPr>
        <w:rStyle w:val="PageNumber"/>
      </w:rPr>
      <w:fldChar w:fldCharType="end"/>
    </w:r>
  </w:p>
  <w:p w:rsidR="00F11B1F" w:rsidRDefault="00583E4B" w:rsidP="001123A3">
    <w:pPr>
      <w:pStyle w:val="Footer"/>
      <w:ind w:left="2880" w:right="360" w:firstLine="34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pt;height:54pt">
          <v:imagedata r:id="rId1" o:title="BK_c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BB" w:rsidRDefault="00583E4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3pt;height:17.3pt;mso-position-horizontal-relative:char;mso-position-vertical-relative:line" o:userdrawn="t" fillcolor="#0067b6">
          <v:imagedata r:id="rId1" o:title=""/>
          <v:shadow color="#dd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01" w:rsidRDefault="00BB1501">
      <w:r>
        <w:separator/>
      </w:r>
    </w:p>
  </w:footnote>
  <w:footnote w:type="continuationSeparator" w:id="0">
    <w:p w:rsidR="00BB1501" w:rsidRDefault="00BB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A3" w:rsidRDefault="00112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A3" w:rsidRDefault="00112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A3" w:rsidRDefault="00112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F18"/>
    <w:multiLevelType w:val="hybridMultilevel"/>
    <w:tmpl w:val="F5EE4544"/>
    <w:lvl w:ilvl="0" w:tplc="DD106B62">
      <w:start w:val="222"/>
      <w:numFmt w:val="bullet"/>
      <w:lvlText w:val=""/>
      <w:lvlJc w:val="left"/>
      <w:pPr>
        <w:tabs>
          <w:tab w:val="num" w:pos="4185"/>
        </w:tabs>
        <w:ind w:left="4185" w:hanging="1845"/>
      </w:pPr>
      <w:rPr>
        <w:rFonts w:ascii="Webdings" w:eastAsia="Times New Roman" w:hAnsi="Webdings" w:cs="Aria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11E69AF"/>
    <w:multiLevelType w:val="hybridMultilevel"/>
    <w:tmpl w:val="826277EC"/>
    <w:lvl w:ilvl="0" w:tplc="A96AF90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0228"/>
    <w:multiLevelType w:val="hybridMultilevel"/>
    <w:tmpl w:val="E1EA7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7A0"/>
    <w:multiLevelType w:val="hybridMultilevel"/>
    <w:tmpl w:val="0950BB0E"/>
    <w:lvl w:ilvl="0" w:tplc="66F2B8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1E71"/>
    <w:multiLevelType w:val="hybridMultilevel"/>
    <w:tmpl w:val="C92C45AC"/>
    <w:lvl w:ilvl="0" w:tplc="F0F8F64E">
      <w:start w:val="216"/>
      <w:numFmt w:val="bullet"/>
      <w:lvlText w:val=""/>
      <w:lvlJc w:val="left"/>
      <w:pPr>
        <w:tabs>
          <w:tab w:val="num" w:pos="2955"/>
        </w:tabs>
        <w:ind w:left="2955" w:hanging="795"/>
      </w:pPr>
      <w:rPr>
        <w:rFonts w:ascii="Webdings" w:eastAsia="Times New Roman" w:hAnsi="Webdings" w:cs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1724BF9"/>
    <w:multiLevelType w:val="hybridMultilevel"/>
    <w:tmpl w:val="C4801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5DB6"/>
    <w:multiLevelType w:val="hybridMultilevel"/>
    <w:tmpl w:val="A3E2860A"/>
    <w:lvl w:ilvl="0" w:tplc="8B12C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B1DD8"/>
    <w:multiLevelType w:val="hybridMultilevel"/>
    <w:tmpl w:val="7F94B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115ca7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F34"/>
    <w:rsid w:val="00001E0F"/>
    <w:rsid w:val="00002090"/>
    <w:rsid w:val="00010AE7"/>
    <w:rsid w:val="0002638A"/>
    <w:rsid w:val="00046702"/>
    <w:rsid w:val="0005440D"/>
    <w:rsid w:val="0006139E"/>
    <w:rsid w:val="00067510"/>
    <w:rsid w:val="00071DEA"/>
    <w:rsid w:val="00080164"/>
    <w:rsid w:val="00087470"/>
    <w:rsid w:val="000D143F"/>
    <w:rsid w:val="000D4E9B"/>
    <w:rsid w:val="000F079F"/>
    <w:rsid w:val="000F2030"/>
    <w:rsid w:val="001123A3"/>
    <w:rsid w:val="00131645"/>
    <w:rsid w:val="00137149"/>
    <w:rsid w:val="001504D4"/>
    <w:rsid w:val="00175DF9"/>
    <w:rsid w:val="001B200C"/>
    <w:rsid w:val="001D67F6"/>
    <w:rsid w:val="001E0326"/>
    <w:rsid w:val="001F00B0"/>
    <w:rsid w:val="001F2CCE"/>
    <w:rsid w:val="002008DA"/>
    <w:rsid w:val="00212B40"/>
    <w:rsid w:val="00216FDC"/>
    <w:rsid w:val="00234279"/>
    <w:rsid w:val="00235144"/>
    <w:rsid w:val="0024560D"/>
    <w:rsid w:val="002534B5"/>
    <w:rsid w:val="00260D6E"/>
    <w:rsid w:val="00284516"/>
    <w:rsid w:val="002877F1"/>
    <w:rsid w:val="0029559B"/>
    <w:rsid w:val="002A246F"/>
    <w:rsid w:val="002C2A2C"/>
    <w:rsid w:val="002C461D"/>
    <w:rsid w:val="002C5432"/>
    <w:rsid w:val="002E1B6B"/>
    <w:rsid w:val="002F5F8B"/>
    <w:rsid w:val="002F6F8A"/>
    <w:rsid w:val="002F7F6E"/>
    <w:rsid w:val="00315127"/>
    <w:rsid w:val="0035581F"/>
    <w:rsid w:val="00366C3A"/>
    <w:rsid w:val="00367E64"/>
    <w:rsid w:val="00395EAE"/>
    <w:rsid w:val="003A03E2"/>
    <w:rsid w:val="003E22D2"/>
    <w:rsid w:val="004045C3"/>
    <w:rsid w:val="00424FC1"/>
    <w:rsid w:val="00426F3F"/>
    <w:rsid w:val="00431B79"/>
    <w:rsid w:val="00435EAF"/>
    <w:rsid w:val="00441754"/>
    <w:rsid w:val="004471FB"/>
    <w:rsid w:val="00447FC0"/>
    <w:rsid w:val="00463FAD"/>
    <w:rsid w:val="0046654E"/>
    <w:rsid w:val="00474EDC"/>
    <w:rsid w:val="004854AC"/>
    <w:rsid w:val="004A79BA"/>
    <w:rsid w:val="004E47CE"/>
    <w:rsid w:val="004F7321"/>
    <w:rsid w:val="0051552D"/>
    <w:rsid w:val="005166BC"/>
    <w:rsid w:val="005251B4"/>
    <w:rsid w:val="0054053E"/>
    <w:rsid w:val="00541C32"/>
    <w:rsid w:val="0054288B"/>
    <w:rsid w:val="0054703D"/>
    <w:rsid w:val="00556361"/>
    <w:rsid w:val="00560CDD"/>
    <w:rsid w:val="00564462"/>
    <w:rsid w:val="00575F08"/>
    <w:rsid w:val="00583E4B"/>
    <w:rsid w:val="005C33AE"/>
    <w:rsid w:val="005C5613"/>
    <w:rsid w:val="005D53BB"/>
    <w:rsid w:val="00603B6E"/>
    <w:rsid w:val="00621562"/>
    <w:rsid w:val="00626341"/>
    <w:rsid w:val="00635CE2"/>
    <w:rsid w:val="0065579D"/>
    <w:rsid w:val="00665C57"/>
    <w:rsid w:val="00686B9A"/>
    <w:rsid w:val="006B25CB"/>
    <w:rsid w:val="006B40EE"/>
    <w:rsid w:val="006B50B9"/>
    <w:rsid w:val="006B7B9A"/>
    <w:rsid w:val="006D5806"/>
    <w:rsid w:val="006F3FBE"/>
    <w:rsid w:val="007042EE"/>
    <w:rsid w:val="00707648"/>
    <w:rsid w:val="00713E57"/>
    <w:rsid w:val="00731B31"/>
    <w:rsid w:val="00732603"/>
    <w:rsid w:val="00756961"/>
    <w:rsid w:val="007709A5"/>
    <w:rsid w:val="0077508D"/>
    <w:rsid w:val="0077775C"/>
    <w:rsid w:val="00777CDF"/>
    <w:rsid w:val="007B1AB3"/>
    <w:rsid w:val="007B2B51"/>
    <w:rsid w:val="007C52E0"/>
    <w:rsid w:val="007E0749"/>
    <w:rsid w:val="007E5453"/>
    <w:rsid w:val="007E756E"/>
    <w:rsid w:val="008025A1"/>
    <w:rsid w:val="008079D2"/>
    <w:rsid w:val="00821D4F"/>
    <w:rsid w:val="008266D4"/>
    <w:rsid w:val="00830519"/>
    <w:rsid w:val="00841EC9"/>
    <w:rsid w:val="00850223"/>
    <w:rsid w:val="00854031"/>
    <w:rsid w:val="0086045B"/>
    <w:rsid w:val="008620D0"/>
    <w:rsid w:val="00862A4F"/>
    <w:rsid w:val="008632EF"/>
    <w:rsid w:val="00880D7E"/>
    <w:rsid w:val="008A21AD"/>
    <w:rsid w:val="008A2627"/>
    <w:rsid w:val="008A7DA8"/>
    <w:rsid w:val="008B4023"/>
    <w:rsid w:val="008F4EAD"/>
    <w:rsid w:val="00917F14"/>
    <w:rsid w:val="00947B6F"/>
    <w:rsid w:val="00983F10"/>
    <w:rsid w:val="009A0810"/>
    <w:rsid w:val="009D46D2"/>
    <w:rsid w:val="009E2D92"/>
    <w:rsid w:val="009E40C6"/>
    <w:rsid w:val="009E7790"/>
    <w:rsid w:val="00A32EE7"/>
    <w:rsid w:val="00A70EFF"/>
    <w:rsid w:val="00A84E89"/>
    <w:rsid w:val="00A85083"/>
    <w:rsid w:val="00A87345"/>
    <w:rsid w:val="00A91D3C"/>
    <w:rsid w:val="00A93C82"/>
    <w:rsid w:val="00AB513B"/>
    <w:rsid w:val="00AD5A7D"/>
    <w:rsid w:val="00AE2A4B"/>
    <w:rsid w:val="00AE5F38"/>
    <w:rsid w:val="00AE66D2"/>
    <w:rsid w:val="00B01887"/>
    <w:rsid w:val="00B3311D"/>
    <w:rsid w:val="00B34880"/>
    <w:rsid w:val="00B41E27"/>
    <w:rsid w:val="00B44FB5"/>
    <w:rsid w:val="00B60D02"/>
    <w:rsid w:val="00B6324B"/>
    <w:rsid w:val="00B64C3B"/>
    <w:rsid w:val="00BB1501"/>
    <w:rsid w:val="00BB29F3"/>
    <w:rsid w:val="00BB4D67"/>
    <w:rsid w:val="00BB6A1C"/>
    <w:rsid w:val="00BD3C96"/>
    <w:rsid w:val="00BE38E3"/>
    <w:rsid w:val="00C0436A"/>
    <w:rsid w:val="00C178F9"/>
    <w:rsid w:val="00C21F35"/>
    <w:rsid w:val="00C361FC"/>
    <w:rsid w:val="00C447D2"/>
    <w:rsid w:val="00C50081"/>
    <w:rsid w:val="00C5386E"/>
    <w:rsid w:val="00C62EC1"/>
    <w:rsid w:val="00C65A40"/>
    <w:rsid w:val="00CA3C7D"/>
    <w:rsid w:val="00CB6514"/>
    <w:rsid w:val="00CC2BC1"/>
    <w:rsid w:val="00CC4CF7"/>
    <w:rsid w:val="00CC7360"/>
    <w:rsid w:val="00CD172A"/>
    <w:rsid w:val="00CD1F24"/>
    <w:rsid w:val="00CD514A"/>
    <w:rsid w:val="00CE3F7D"/>
    <w:rsid w:val="00CE566D"/>
    <w:rsid w:val="00D01C79"/>
    <w:rsid w:val="00D04659"/>
    <w:rsid w:val="00D46F34"/>
    <w:rsid w:val="00D52661"/>
    <w:rsid w:val="00D6705D"/>
    <w:rsid w:val="00D80535"/>
    <w:rsid w:val="00D829D7"/>
    <w:rsid w:val="00D86719"/>
    <w:rsid w:val="00D949C0"/>
    <w:rsid w:val="00D95F76"/>
    <w:rsid w:val="00DA072F"/>
    <w:rsid w:val="00DA7257"/>
    <w:rsid w:val="00DC0140"/>
    <w:rsid w:val="00DD036F"/>
    <w:rsid w:val="00DD21EE"/>
    <w:rsid w:val="00DD6A87"/>
    <w:rsid w:val="00DF7DB9"/>
    <w:rsid w:val="00E01523"/>
    <w:rsid w:val="00E03676"/>
    <w:rsid w:val="00E21684"/>
    <w:rsid w:val="00E24767"/>
    <w:rsid w:val="00E341E7"/>
    <w:rsid w:val="00E808D6"/>
    <w:rsid w:val="00E974F3"/>
    <w:rsid w:val="00EC5169"/>
    <w:rsid w:val="00F11B1F"/>
    <w:rsid w:val="00F42413"/>
    <w:rsid w:val="00F64407"/>
    <w:rsid w:val="00F72195"/>
    <w:rsid w:val="00F7431D"/>
    <w:rsid w:val="00F90CF6"/>
    <w:rsid w:val="00FB67C5"/>
    <w:rsid w:val="00FC2695"/>
    <w:rsid w:val="00FC71E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49">
      <o:colormru v:ext="edit" colors="#115ca7"/>
    </o:shapedefaults>
    <o:shapelayout v:ext="edit">
      <o:idmap v:ext="edit" data="1"/>
    </o:shapelayout>
  </w:shapeDefaults>
  <w:decimalSymbol w:val="."/>
  <w:listSeparator w:val=","/>
  <w15:docId w15:val="{6A187159-2F00-4461-A6D3-56ED82E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  <w:tab w:val="left" w:pos="2835"/>
        <w:tab w:val="left" w:pos="7088"/>
      </w:tabs>
      <w:ind w:left="2340" w:right="-285"/>
      <w:outlineLvl w:val="0"/>
    </w:pPr>
    <w:rPr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6F8A"/>
  </w:style>
  <w:style w:type="paragraph" w:styleId="TOC1">
    <w:name w:val="toc 1"/>
    <w:basedOn w:val="Normal"/>
    <w:next w:val="Normal"/>
    <w:autoRedefine/>
    <w:semiHidden/>
    <w:rsid w:val="0023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nornik.ru/_i/logo_e.gi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rine\LOCALS~1\Temp\m.notes.data\Roadshow%20Feedbac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Roadshow Feedback Template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Banco Bilbao Vizcaya Argentaria</vt:lpstr>
    </vt:vector>
  </TitlesOfParts>
  <Company>The Bank of New York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Bilbao Vizcaya Argentaria</dc:title>
  <dc:creator>The Bank of New York</dc:creator>
  <cp:lastModifiedBy>Wolcott Wheeler</cp:lastModifiedBy>
  <cp:revision>3</cp:revision>
  <cp:lastPrinted>2008-02-11T16:32:00Z</cp:lastPrinted>
  <dcterms:created xsi:type="dcterms:W3CDTF">2019-02-01T06:23:00Z</dcterms:created>
  <dcterms:modified xsi:type="dcterms:W3CDTF">2019-02-01T06:23:00Z</dcterms:modified>
</cp:coreProperties>
</file>