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E9417" w14:textId="77777777" w:rsidR="009D0C5F" w:rsidRDefault="009D0C5F" w:rsidP="009D0C5F">
      <w:pPr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AMA Advisory Group</w:t>
      </w:r>
    </w:p>
    <w:p w14:paraId="34240B66" w14:textId="77777777" w:rsidR="009D0C5F" w:rsidRDefault="009D0C5F" w:rsidP="009D0C5F">
      <w:pPr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[put your logo here?]</w:t>
      </w:r>
    </w:p>
    <w:p w14:paraId="586B73B5" w14:textId="77777777" w:rsidR="00651B1E" w:rsidRDefault="00651B1E" w:rsidP="00C518AF">
      <w:pPr>
        <w:rPr>
          <w:rFonts w:ascii="Cambria" w:hAnsi="Cambria"/>
          <w:b/>
          <w:sz w:val="40"/>
        </w:rPr>
      </w:pPr>
    </w:p>
    <w:p w14:paraId="2D42C637" w14:textId="77777777" w:rsidR="00651B1E" w:rsidRDefault="00651B1E" w:rsidP="00651B1E">
      <w:pPr>
        <w:jc w:val="center"/>
        <w:rPr>
          <w:rFonts w:ascii="Cambria" w:hAnsi="Cambria"/>
          <w:b/>
          <w:sz w:val="40"/>
        </w:rPr>
      </w:pPr>
    </w:p>
    <w:p w14:paraId="75BAEF30" w14:textId="77777777" w:rsidR="00651B1E" w:rsidRDefault="00651B1E" w:rsidP="00651B1E">
      <w:pPr>
        <w:jc w:val="center"/>
        <w:rPr>
          <w:rFonts w:ascii="Cambria" w:hAnsi="Cambria"/>
          <w:b/>
          <w:sz w:val="40"/>
        </w:rPr>
      </w:pPr>
    </w:p>
    <w:p w14:paraId="1F770205" w14:textId="77777777" w:rsidR="00651B1E" w:rsidRDefault="00651B1E" w:rsidP="00651B1E">
      <w:pPr>
        <w:jc w:val="center"/>
        <w:rPr>
          <w:rFonts w:ascii="Cambria" w:hAnsi="Cambria"/>
          <w:b/>
          <w:sz w:val="40"/>
        </w:rPr>
      </w:pPr>
    </w:p>
    <w:p w14:paraId="33953DC7" w14:textId="77777777" w:rsidR="00651B1E" w:rsidRDefault="00651B1E" w:rsidP="00651B1E">
      <w:pPr>
        <w:jc w:val="center"/>
        <w:rPr>
          <w:rFonts w:ascii="Cambria" w:hAnsi="Cambria"/>
          <w:b/>
          <w:sz w:val="40"/>
        </w:rPr>
      </w:pPr>
    </w:p>
    <w:p w14:paraId="7F6FCB76" w14:textId="2A4A6336" w:rsidR="00651B1E" w:rsidRPr="00651B1E" w:rsidRDefault="00651B1E" w:rsidP="00C518AF">
      <w:pPr>
        <w:tabs>
          <w:tab w:val="left" w:pos="10170"/>
        </w:tabs>
        <w:jc w:val="center"/>
        <w:rPr>
          <w:rFonts w:ascii="Cambria" w:hAnsi="Cambria"/>
          <w:b/>
          <w:color w:val="FF0000"/>
          <w:sz w:val="40"/>
        </w:rPr>
      </w:pPr>
      <w:r>
        <w:rPr>
          <w:rFonts w:ascii="Cambria" w:hAnsi="Cambria"/>
          <w:b/>
          <w:noProof/>
          <w:color w:val="FF0000"/>
          <w:sz w:val="40"/>
        </w:rPr>
        <w:drawing>
          <wp:anchor distT="0" distB="0" distL="114300" distR="114300" simplePos="0" relativeHeight="251962367" behindDoc="1" locked="0" layoutInCell="1" allowOverlap="1" wp14:anchorId="61D0880F" wp14:editId="18007F91">
            <wp:simplePos x="0" y="0"/>
            <wp:positionH relativeFrom="column">
              <wp:posOffset>-802640</wp:posOffset>
            </wp:positionH>
            <wp:positionV relativeFrom="paragraph">
              <wp:posOffset>629285</wp:posOffset>
            </wp:positionV>
            <wp:extent cx="7792720" cy="633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G_Gazpro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720" cy="633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C5F">
        <w:rPr>
          <w:rFonts w:ascii="Cambria" w:hAnsi="Cambria"/>
          <w:b/>
          <w:color w:val="FF0000"/>
          <w:sz w:val="40"/>
        </w:rPr>
        <w:t xml:space="preserve">A Proposal for the </w:t>
      </w:r>
      <w:r w:rsidRPr="00651B1E">
        <w:rPr>
          <w:rFonts w:ascii="Cambria" w:hAnsi="Cambria"/>
          <w:b/>
          <w:color w:val="FF0000"/>
          <w:sz w:val="40"/>
        </w:rPr>
        <w:t xml:space="preserve">DR Management of </w:t>
      </w:r>
      <w:r w:rsidR="009D0C5F">
        <w:rPr>
          <w:rFonts w:ascii="Cambria" w:hAnsi="Cambria"/>
          <w:b/>
          <w:color w:val="FF0000"/>
          <w:sz w:val="40"/>
        </w:rPr>
        <w:t xml:space="preserve">the </w:t>
      </w:r>
      <w:r w:rsidRPr="00651B1E">
        <w:rPr>
          <w:rFonts w:ascii="Cambria" w:hAnsi="Cambria"/>
          <w:b/>
          <w:color w:val="FF0000"/>
          <w:sz w:val="40"/>
        </w:rPr>
        <w:t xml:space="preserve">Open </w:t>
      </w:r>
      <w:r w:rsidR="004229EE" w:rsidRPr="00651B1E">
        <w:rPr>
          <w:rFonts w:ascii="Cambria" w:hAnsi="Cambria"/>
          <w:b/>
          <w:color w:val="FF0000"/>
          <w:sz w:val="40"/>
        </w:rPr>
        <w:t>Joint Stock</w:t>
      </w:r>
      <w:r w:rsidRPr="00651B1E">
        <w:rPr>
          <w:rFonts w:ascii="Cambria" w:hAnsi="Cambria"/>
          <w:b/>
          <w:color w:val="FF0000"/>
          <w:sz w:val="40"/>
        </w:rPr>
        <w:t xml:space="preserve"> C</w:t>
      </w:r>
      <w:r w:rsidR="00EC3104">
        <w:rPr>
          <w:rFonts w:ascii="Cambria" w:hAnsi="Cambria"/>
          <w:b/>
          <w:color w:val="FF0000"/>
          <w:sz w:val="40"/>
        </w:rPr>
        <w:t>ompany Norilsk Nickel</w:t>
      </w:r>
      <w:r w:rsidR="009D0C5F">
        <w:rPr>
          <w:rFonts w:ascii="Cambria" w:hAnsi="Cambria"/>
          <w:b/>
          <w:color w:val="FF0000"/>
          <w:sz w:val="40"/>
        </w:rPr>
        <w:t>’s</w:t>
      </w:r>
      <w:r w:rsidR="00EC3104">
        <w:rPr>
          <w:rFonts w:ascii="Cambria" w:hAnsi="Cambria"/>
          <w:b/>
          <w:color w:val="FF0000"/>
          <w:sz w:val="40"/>
        </w:rPr>
        <w:t xml:space="preserve"> A</w:t>
      </w:r>
      <w:r w:rsidRPr="00651B1E">
        <w:rPr>
          <w:rFonts w:ascii="Cambria" w:hAnsi="Cambria"/>
          <w:b/>
          <w:color w:val="FF0000"/>
          <w:sz w:val="40"/>
        </w:rPr>
        <w:t>DR Program</w:t>
      </w:r>
    </w:p>
    <w:p w14:paraId="7EDD7BB4" w14:textId="77777777" w:rsidR="00651B1E" w:rsidRDefault="00651B1E" w:rsidP="00651B1E"/>
    <w:p w14:paraId="11DFA2C0" w14:textId="77777777" w:rsidR="00435899" w:rsidRDefault="00435899">
      <w:pPr>
        <w:pStyle w:val="Heading1"/>
      </w:pPr>
    </w:p>
    <w:p w14:paraId="4B736B0D" w14:textId="77777777" w:rsidR="00E62C94" w:rsidRDefault="00E62C94">
      <w:pPr>
        <w:spacing w:before="0" w:after="0"/>
        <w:rPr>
          <w:rStyle w:val="Heading1Char"/>
        </w:rPr>
      </w:pPr>
      <w:bookmarkStart w:id="0" w:name="_Toc339102576"/>
      <w:bookmarkStart w:id="1" w:name="_Toc339102624"/>
      <w:bookmarkStart w:id="2" w:name="_Toc339102720"/>
      <w:r>
        <w:rPr>
          <w:rStyle w:val="Heading1Char"/>
          <w:b/>
          <w:bCs/>
        </w:rPr>
        <w:br w:type="page"/>
      </w:r>
    </w:p>
    <w:p w14:paraId="2DC5933E" w14:textId="4A7A02E4" w:rsidR="0014242E" w:rsidRDefault="009B5F39" w:rsidP="00C518AF">
      <w:pPr>
        <w:pStyle w:val="Heading1"/>
      </w:pPr>
      <w:bookmarkStart w:id="3" w:name="_Toc352746729"/>
      <w:bookmarkStart w:id="4" w:name="_Toc352914092"/>
      <w:bookmarkStart w:id="5" w:name="_Toc241974684"/>
      <w:bookmarkStart w:id="6" w:name="_Toc339221691"/>
      <w:bookmarkStart w:id="7" w:name="_Toc339298097"/>
      <w:bookmarkStart w:id="8" w:name="_Toc339313895"/>
      <w:bookmarkStart w:id="9" w:name="_Toc339298141"/>
      <w:bookmarkStart w:id="10" w:name="_Toc339313938"/>
      <w:bookmarkStart w:id="11" w:name="_Toc378334990"/>
      <w:r>
        <w:lastRenderedPageBreak/>
        <w:t>Table of Contents</w:t>
      </w:r>
      <w:bookmarkEnd w:id="3"/>
      <w:bookmarkEnd w:id="4"/>
      <w:bookmarkEnd w:id="5"/>
      <w:bookmarkEnd w:id="11"/>
    </w:p>
    <w:p w14:paraId="45CDD080" w14:textId="77777777" w:rsidR="008902E6" w:rsidRPr="00C518AF" w:rsidRDefault="008902E6" w:rsidP="00C518AF"/>
    <w:sdt>
      <w:sdtPr>
        <w:id w:val="69181166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E2740B0" w14:textId="4EDB0EC6" w:rsidR="00A22AF3" w:rsidRPr="00C518AF" w:rsidRDefault="00A22AF3" w:rsidP="00A22AF3">
          <w:pPr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noProof/>
              <w:color w:val="auto"/>
            </w:rPr>
            <w:t>Table of Contents</w:t>
          </w:r>
          <w:r w:rsidRPr="00C518AF">
            <w:rPr>
              <w:color w:val="auto"/>
            </w:rPr>
            <w:tab/>
          </w:r>
          <w:r w:rsidR="007C03E1" w:rsidRPr="00C518AF">
            <w:rPr>
              <w:color w:val="auto"/>
            </w:rPr>
            <w:t>X</w:t>
          </w:r>
        </w:p>
        <w:p w14:paraId="52E96D56" w14:textId="27C32322" w:rsidR="00A22AF3" w:rsidRPr="00C518AF" w:rsidRDefault="00A22AF3" w:rsidP="00A22AF3">
          <w:pPr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noProof/>
              <w:color w:val="auto"/>
            </w:rPr>
            <w:t>Executive Summary and Results</w:t>
          </w:r>
          <w:r w:rsidRPr="00C518AF">
            <w:rPr>
              <w:color w:val="auto"/>
            </w:rPr>
            <w:tab/>
          </w:r>
          <w:r w:rsidR="007C03E1" w:rsidRPr="00C518AF">
            <w:rPr>
              <w:color w:val="auto"/>
            </w:rPr>
            <w:t>X</w:t>
          </w:r>
        </w:p>
        <w:p w14:paraId="60146E6E" w14:textId="6F851E1E" w:rsidR="00A22AF3" w:rsidRPr="00C518AF" w:rsidRDefault="00A22AF3" w:rsidP="00A22AF3">
          <w:pPr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color w:val="auto"/>
            </w:rPr>
            <w:t>Overview of the DR Market (Globally and in Russia)</w:t>
          </w:r>
          <w:r w:rsidRPr="00C518AF">
            <w:rPr>
              <w:color w:val="auto"/>
            </w:rPr>
            <w:tab/>
          </w:r>
          <w:r w:rsidR="007C03E1" w:rsidRPr="00C518AF">
            <w:rPr>
              <w:color w:val="auto"/>
            </w:rPr>
            <w:t>X</w:t>
          </w:r>
        </w:p>
        <w:p w14:paraId="08D5E181" w14:textId="77777777" w:rsidR="00B06C4E" w:rsidRPr="00C518AF" w:rsidRDefault="00B06C4E" w:rsidP="00B06C4E">
          <w:pPr>
            <w:pStyle w:val="ListParagraph"/>
            <w:numPr>
              <w:ilvl w:val="0"/>
              <w:numId w:val="56"/>
            </w:numPr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color w:val="auto"/>
            </w:rPr>
            <w:t>DR Liquidity</w:t>
          </w:r>
          <w:r w:rsidRPr="00C518AF">
            <w:rPr>
              <w:color w:val="auto"/>
            </w:rPr>
            <w:tab/>
            <w:t>X</w:t>
          </w:r>
        </w:p>
        <w:p w14:paraId="1038D920" w14:textId="77777777" w:rsidR="00B06C4E" w:rsidRPr="00C518AF" w:rsidRDefault="00B06C4E" w:rsidP="00B06C4E">
          <w:pPr>
            <w:pStyle w:val="ListParagraph"/>
            <w:numPr>
              <w:ilvl w:val="0"/>
              <w:numId w:val="56"/>
            </w:numPr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color w:val="auto"/>
            </w:rPr>
            <w:t>New Amendments to the Regulatory Framework</w:t>
          </w:r>
          <w:r w:rsidRPr="00C518AF">
            <w:rPr>
              <w:color w:val="auto"/>
            </w:rPr>
            <w:tab/>
            <w:t>X</w:t>
          </w:r>
        </w:p>
        <w:p w14:paraId="6FEE4A22" w14:textId="77777777" w:rsidR="00B06C4E" w:rsidRPr="00C518AF" w:rsidRDefault="00B06C4E" w:rsidP="00B06C4E">
          <w:pPr>
            <w:pStyle w:val="ListParagraph"/>
            <w:numPr>
              <w:ilvl w:val="0"/>
              <w:numId w:val="56"/>
            </w:numPr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color w:val="auto"/>
            </w:rPr>
            <w:t>Market Statistics on the Buy-side’s View of DRs</w:t>
          </w:r>
          <w:r w:rsidRPr="00C518AF">
            <w:rPr>
              <w:color w:val="auto"/>
            </w:rPr>
            <w:tab/>
            <w:t>X</w:t>
          </w:r>
        </w:p>
        <w:p w14:paraId="239EEC52" w14:textId="77777777" w:rsidR="00B06C4E" w:rsidRPr="00C518AF" w:rsidRDefault="00B06C4E" w:rsidP="00B06C4E">
          <w:pPr>
            <w:pStyle w:val="ListParagraph"/>
            <w:numPr>
              <w:ilvl w:val="0"/>
              <w:numId w:val="56"/>
            </w:numPr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color w:val="auto"/>
            </w:rPr>
            <w:t>Top Institutional Investors That Buy DRs</w:t>
          </w:r>
          <w:r w:rsidRPr="00C518AF">
            <w:rPr>
              <w:color w:val="auto"/>
            </w:rPr>
            <w:tab/>
            <w:t>X</w:t>
          </w:r>
        </w:p>
        <w:p w14:paraId="73DFF4F7" w14:textId="77777777" w:rsidR="00B06C4E" w:rsidRPr="00C518AF" w:rsidRDefault="00B06C4E" w:rsidP="00C518AF">
          <w:pPr>
            <w:pStyle w:val="ListParagraph"/>
            <w:tabs>
              <w:tab w:val="left" w:pos="720"/>
              <w:tab w:val="right" w:leader="dot" w:pos="9360"/>
            </w:tabs>
            <w:rPr>
              <w:color w:val="auto"/>
            </w:rPr>
          </w:pPr>
        </w:p>
        <w:p w14:paraId="5FA645F0" w14:textId="71C5B066" w:rsidR="00B06C4E" w:rsidRPr="00C518AF" w:rsidRDefault="00B06C4E" w:rsidP="00C518AF">
          <w:pPr>
            <w:pStyle w:val="ListParagraph"/>
            <w:tabs>
              <w:tab w:val="right" w:leader="dot" w:pos="9720"/>
            </w:tabs>
            <w:ind w:hanging="720"/>
            <w:rPr>
              <w:color w:val="auto"/>
            </w:rPr>
          </w:pPr>
          <w:r w:rsidRPr="00C518AF">
            <w:rPr>
              <w:color w:val="auto"/>
            </w:rPr>
            <w:t>Overview of Depositary Banks (Globally and in Russia)</w:t>
          </w:r>
        </w:p>
        <w:p w14:paraId="480D1EE2" w14:textId="77777777" w:rsidR="00B06C4E" w:rsidRPr="00C518AF" w:rsidRDefault="00B06C4E" w:rsidP="00C518AF">
          <w:pPr>
            <w:pStyle w:val="ListParagraph"/>
            <w:tabs>
              <w:tab w:val="right" w:leader="dot" w:pos="9720"/>
            </w:tabs>
            <w:rPr>
              <w:color w:val="auto"/>
            </w:rPr>
          </w:pPr>
        </w:p>
        <w:p w14:paraId="0ADD6B46" w14:textId="3DAD0305" w:rsidR="00A22AF3" w:rsidRPr="00C518AF" w:rsidRDefault="00B06C4E" w:rsidP="00C518AF">
          <w:pPr>
            <w:pStyle w:val="ListParagraph"/>
            <w:numPr>
              <w:ilvl w:val="0"/>
              <w:numId w:val="56"/>
            </w:numPr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color w:val="auto"/>
            </w:rPr>
            <w:t>The Role of a Depositary Bank</w:t>
          </w:r>
          <w:r w:rsidR="00A22AF3" w:rsidRPr="00C518AF">
            <w:rPr>
              <w:color w:val="auto"/>
            </w:rPr>
            <w:tab/>
          </w:r>
          <w:r w:rsidR="007C03E1" w:rsidRPr="00C518AF">
            <w:rPr>
              <w:color w:val="auto"/>
            </w:rPr>
            <w:t>X</w:t>
          </w:r>
        </w:p>
        <w:p w14:paraId="6B6912D3" w14:textId="127A7E40" w:rsidR="00A22AF3" w:rsidRPr="00C518AF" w:rsidRDefault="00B06C4E" w:rsidP="00C518AF">
          <w:pPr>
            <w:pStyle w:val="ListParagraph"/>
            <w:numPr>
              <w:ilvl w:val="0"/>
              <w:numId w:val="56"/>
            </w:numPr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color w:val="auto"/>
            </w:rPr>
            <w:t>Market Overview (Competition)</w:t>
          </w:r>
          <w:r w:rsidR="00A22AF3" w:rsidRPr="00C518AF">
            <w:rPr>
              <w:color w:val="auto"/>
            </w:rPr>
            <w:tab/>
          </w:r>
          <w:r w:rsidR="007C03E1" w:rsidRPr="00C518AF">
            <w:rPr>
              <w:color w:val="auto"/>
            </w:rPr>
            <w:t>X</w:t>
          </w:r>
        </w:p>
        <w:p w14:paraId="390423E9" w14:textId="6CD70A57" w:rsidR="00A22AF3" w:rsidRPr="00C518AF" w:rsidRDefault="00B06C4E" w:rsidP="00C518AF">
          <w:pPr>
            <w:pStyle w:val="ListParagraph"/>
            <w:numPr>
              <w:ilvl w:val="0"/>
              <w:numId w:val="56"/>
            </w:numPr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color w:val="auto"/>
            </w:rPr>
            <w:t>Depositary Banks’ Revenues</w:t>
          </w:r>
          <w:r w:rsidR="00A22AF3" w:rsidRPr="00C518AF">
            <w:rPr>
              <w:color w:val="auto"/>
            </w:rPr>
            <w:tab/>
          </w:r>
          <w:r w:rsidR="007C03E1" w:rsidRPr="00C518AF">
            <w:rPr>
              <w:color w:val="auto"/>
            </w:rPr>
            <w:t>X</w:t>
          </w:r>
        </w:p>
        <w:p w14:paraId="288FBFE0" w14:textId="56B97E53" w:rsidR="00B06C4E" w:rsidRPr="00C518AF" w:rsidRDefault="00B06C4E" w:rsidP="00C518AF">
          <w:pPr>
            <w:pStyle w:val="ListParagraph"/>
            <w:numPr>
              <w:ilvl w:val="0"/>
              <w:numId w:val="56"/>
            </w:numPr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color w:val="auto"/>
            </w:rPr>
            <w:t>Reimbursement Arrangements</w:t>
          </w:r>
          <w:r w:rsidR="00A22AF3" w:rsidRPr="00C518AF">
            <w:rPr>
              <w:color w:val="auto"/>
            </w:rPr>
            <w:tab/>
          </w:r>
          <w:r w:rsidR="007C03E1" w:rsidRPr="00C518AF">
            <w:rPr>
              <w:color w:val="auto"/>
            </w:rPr>
            <w:t>X</w:t>
          </w:r>
        </w:p>
        <w:p w14:paraId="13868F68" w14:textId="505BD82B" w:rsidR="003D4073" w:rsidRPr="00C518AF" w:rsidRDefault="003D4073" w:rsidP="003D4073">
          <w:pPr>
            <w:pStyle w:val="ListParagraph"/>
            <w:numPr>
              <w:ilvl w:val="0"/>
              <w:numId w:val="56"/>
            </w:numPr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color w:val="auto"/>
            </w:rPr>
            <w:t>Scope of Services</w:t>
          </w:r>
          <w:r w:rsidRPr="00C518AF">
            <w:rPr>
              <w:color w:val="auto"/>
            </w:rPr>
            <w:tab/>
            <w:t>X</w:t>
          </w:r>
        </w:p>
        <w:p w14:paraId="2C38543C" w14:textId="7FB399A6" w:rsidR="003D4073" w:rsidRPr="00C518AF" w:rsidRDefault="003D4073" w:rsidP="003D4073">
          <w:pPr>
            <w:pStyle w:val="ListParagraph"/>
            <w:numPr>
              <w:ilvl w:val="0"/>
              <w:numId w:val="56"/>
            </w:numPr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color w:val="auto"/>
            </w:rPr>
            <w:t>Pricing Model</w:t>
          </w:r>
          <w:r w:rsidRPr="00C518AF">
            <w:rPr>
              <w:color w:val="auto"/>
            </w:rPr>
            <w:tab/>
            <w:t>X</w:t>
          </w:r>
        </w:p>
        <w:p w14:paraId="6BE6E25A" w14:textId="484CC2A8" w:rsidR="003D4073" w:rsidRPr="00C518AF" w:rsidRDefault="003D4073" w:rsidP="00C518AF">
          <w:pPr>
            <w:pStyle w:val="ListParagraph"/>
            <w:numPr>
              <w:ilvl w:val="0"/>
              <w:numId w:val="56"/>
            </w:numPr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color w:val="auto"/>
            </w:rPr>
            <w:t>Transparency (FX fees)</w:t>
          </w:r>
          <w:r w:rsidRPr="00C518AF">
            <w:rPr>
              <w:color w:val="auto"/>
            </w:rPr>
            <w:tab/>
            <w:t>X</w:t>
          </w:r>
        </w:p>
        <w:p w14:paraId="3B71F3D3" w14:textId="77777777" w:rsidR="00477116" w:rsidRPr="00C518AF" w:rsidRDefault="00477116" w:rsidP="00477116">
          <w:pPr>
            <w:tabs>
              <w:tab w:val="right" w:leader="dot" w:pos="9720"/>
            </w:tabs>
            <w:rPr>
              <w:color w:val="auto"/>
            </w:rPr>
          </w:pPr>
          <w:r w:rsidRPr="00C518AF">
            <w:rPr>
              <w:color w:val="auto"/>
            </w:rPr>
            <w:t>Assessment of the Current Engagement Letter Between Norilsk Nickel and BNY Mellon (“BNYM”)</w:t>
          </w:r>
        </w:p>
        <w:p w14:paraId="20AE0C65" w14:textId="5885E039" w:rsidR="00477116" w:rsidRPr="00C518AF" w:rsidRDefault="00CB1E2F" w:rsidP="00477116">
          <w:pPr>
            <w:pStyle w:val="ListParagraph"/>
            <w:numPr>
              <w:ilvl w:val="0"/>
              <w:numId w:val="56"/>
            </w:numPr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color w:val="auto"/>
            </w:rPr>
            <w:t>Analysis of the Economic Value of the Current DR Arrangement</w:t>
          </w:r>
          <w:r w:rsidR="00477116" w:rsidRPr="00C518AF">
            <w:rPr>
              <w:color w:val="auto"/>
            </w:rPr>
            <w:tab/>
            <w:t>X</w:t>
          </w:r>
        </w:p>
        <w:p w14:paraId="501E3B3C" w14:textId="17300A7B" w:rsidR="00477116" w:rsidRPr="00C518AF" w:rsidRDefault="00CB1E2F" w:rsidP="00477116">
          <w:pPr>
            <w:pStyle w:val="ListParagraph"/>
            <w:numPr>
              <w:ilvl w:val="0"/>
              <w:numId w:val="56"/>
            </w:numPr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color w:val="auto"/>
            </w:rPr>
            <w:t>Terms and Conditions of the Current Arrangement</w:t>
          </w:r>
          <w:r w:rsidR="00477116" w:rsidRPr="00C518AF">
            <w:rPr>
              <w:color w:val="auto"/>
            </w:rPr>
            <w:tab/>
            <w:t>X</w:t>
          </w:r>
        </w:p>
        <w:p w14:paraId="32D33DA5" w14:textId="68D33343" w:rsidR="00477116" w:rsidRPr="00C518AF" w:rsidRDefault="005D29DE" w:rsidP="00477116">
          <w:pPr>
            <w:pStyle w:val="ListParagraph"/>
            <w:numPr>
              <w:ilvl w:val="0"/>
              <w:numId w:val="56"/>
            </w:numPr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color w:val="auto"/>
            </w:rPr>
            <w:t>Assessment of Core Services Rendered by BNYM</w:t>
          </w:r>
          <w:r w:rsidR="00477116" w:rsidRPr="00C518AF">
            <w:rPr>
              <w:color w:val="auto"/>
            </w:rPr>
            <w:tab/>
            <w:t>X</w:t>
          </w:r>
        </w:p>
        <w:p w14:paraId="6CF0BC67" w14:textId="361C4E71" w:rsidR="00477116" w:rsidRPr="00C518AF" w:rsidRDefault="00C371C7" w:rsidP="00477116">
          <w:pPr>
            <w:pStyle w:val="ListParagraph"/>
            <w:numPr>
              <w:ilvl w:val="0"/>
              <w:numId w:val="56"/>
            </w:numPr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color w:val="auto"/>
            </w:rPr>
            <w:t>Voting</w:t>
          </w:r>
          <w:r w:rsidR="00477116" w:rsidRPr="00C518AF">
            <w:rPr>
              <w:color w:val="auto"/>
            </w:rPr>
            <w:tab/>
            <w:t>X</w:t>
          </w:r>
        </w:p>
        <w:p w14:paraId="6A78B6F9" w14:textId="3995A912" w:rsidR="00477116" w:rsidRPr="00C518AF" w:rsidRDefault="00C371C7" w:rsidP="00477116">
          <w:pPr>
            <w:pStyle w:val="ListParagraph"/>
            <w:numPr>
              <w:ilvl w:val="0"/>
              <w:numId w:val="56"/>
            </w:numPr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color w:val="auto"/>
            </w:rPr>
            <w:t>Corporate Actions (Buyback)</w:t>
          </w:r>
          <w:r w:rsidR="00477116" w:rsidRPr="00C518AF">
            <w:rPr>
              <w:color w:val="auto"/>
            </w:rPr>
            <w:tab/>
            <w:t>X</w:t>
          </w:r>
        </w:p>
        <w:p w14:paraId="34105C87" w14:textId="41167373" w:rsidR="00477116" w:rsidRPr="00C518AF" w:rsidRDefault="00C371C7" w:rsidP="00477116">
          <w:pPr>
            <w:pStyle w:val="ListParagraph"/>
            <w:numPr>
              <w:ilvl w:val="0"/>
              <w:numId w:val="56"/>
            </w:numPr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color w:val="auto"/>
            </w:rPr>
            <w:t>Dividends Distribution</w:t>
          </w:r>
          <w:r w:rsidR="00477116" w:rsidRPr="00C518AF">
            <w:rPr>
              <w:color w:val="auto"/>
            </w:rPr>
            <w:tab/>
            <w:t>X</w:t>
          </w:r>
        </w:p>
        <w:p w14:paraId="4215ABB0" w14:textId="77777777" w:rsidR="00C371C7" w:rsidRPr="00C518AF" w:rsidRDefault="00C371C7" w:rsidP="00C371C7">
          <w:pPr>
            <w:pStyle w:val="ListParagraph"/>
            <w:numPr>
              <w:ilvl w:val="0"/>
              <w:numId w:val="56"/>
            </w:numPr>
            <w:tabs>
              <w:tab w:val="right" w:leader="dot" w:pos="9720"/>
            </w:tabs>
            <w:spacing w:before="0" w:after="0"/>
            <w:rPr>
              <w:color w:val="auto"/>
            </w:rPr>
          </w:pPr>
          <w:r w:rsidRPr="00C518AF">
            <w:rPr>
              <w:color w:val="auto"/>
            </w:rPr>
            <w:t xml:space="preserve">Assessment of the DR Relationship Between BNYM and Norilsk Nickel’s Major </w:t>
          </w:r>
        </w:p>
        <w:p w14:paraId="72BA7A5C" w14:textId="54685BC6" w:rsidR="00477116" w:rsidRPr="00C518AF" w:rsidRDefault="00C371C7" w:rsidP="00C518AF">
          <w:pPr>
            <w:pStyle w:val="ListParagraph"/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color w:val="auto"/>
            </w:rPr>
            <w:t>Shareholders</w:t>
          </w:r>
          <w:r w:rsidR="00477116" w:rsidRPr="00C518AF">
            <w:rPr>
              <w:color w:val="auto"/>
            </w:rPr>
            <w:tab/>
            <w:t>X</w:t>
          </w:r>
        </w:p>
        <w:p w14:paraId="461F9319" w14:textId="77777777" w:rsidR="00170D23" w:rsidRPr="00C518AF" w:rsidRDefault="00170D23" w:rsidP="00170D23">
          <w:pPr>
            <w:tabs>
              <w:tab w:val="right" w:leader="dot" w:pos="9720"/>
            </w:tabs>
            <w:rPr>
              <w:color w:val="auto"/>
            </w:rPr>
          </w:pPr>
          <w:r w:rsidRPr="00C518AF">
            <w:rPr>
              <w:color w:val="auto"/>
            </w:rPr>
            <w:t>Assessment of DR Proposals for the New DR Relationship</w:t>
          </w:r>
        </w:p>
        <w:p w14:paraId="7E3654D0" w14:textId="70F5C17A" w:rsidR="00FA6640" w:rsidRPr="00C518AF" w:rsidRDefault="00AF1BB2" w:rsidP="00FA6640">
          <w:pPr>
            <w:pStyle w:val="ListParagraph"/>
            <w:numPr>
              <w:ilvl w:val="0"/>
              <w:numId w:val="56"/>
            </w:numPr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color w:val="auto"/>
            </w:rPr>
            <w:t>Selection of Criteria</w:t>
          </w:r>
          <w:r w:rsidR="00FA6640" w:rsidRPr="00C518AF">
            <w:rPr>
              <w:color w:val="auto"/>
            </w:rPr>
            <w:tab/>
            <w:t>X</w:t>
          </w:r>
        </w:p>
        <w:p w14:paraId="0560A654" w14:textId="7CE2F15E" w:rsidR="00FA6640" w:rsidRPr="00C518AF" w:rsidRDefault="00AF1BB2" w:rsidP="00FA6640">
          <w:pPr>
            <w:pStyle w:val="ListParagraph"/>
            <w:numPr>
              <w:ilvl w:val="0"/>
              <w:numId w:val="56"/>
            </w:numPr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color w:val="auto"/>
            </w:rPr>
            <w:t>Pricing Model (Reimbursement Arrangements</w:t>
          </w:r>
          <w:r w:rsidR="00FA6640" w:rsidRPr="00C518AF">
            <w:rPr>
              <w:color w:val="auto"/>
            </w:rPr>
            <w:tab/>
            <w:t>X</w:t>
          </w:r>
        </w:p>
        <w:p w14:paraId="67D9943E" w14:textId="3EDFE7B4" w:rsidR="00FA6640" w:rsidRPr="00C518AF" w:rsidRDefault="00AF1BB2" w:rsidP="00FA6640">
          <w:pPr>
            <w:pStyle w:val="ListParagraph"/>
            <w:numPr>
              <w:ilvl w:val="0"/>
              <w:numId w:val="56"/>
            </w:numPr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color w:val="auto"/>
            </w:rPr>
            <w:t>Core Services</w:t>
          </w:r>
          <w:r w:rsidR="00FA6640" w:rsidRPr="00C518AF">
            <w:rPr>
              <w:color w:val="auto"/>
            </w:rPr>
            <w:tab/>
            <w:t>X</w:t>
          </w:r>
        </w:p>
        <w:p w14:paraId="2119036A" w14:textId="2C6DACB6" w:rsidR="00FA6640" w:rsidRPr="00C518AF" w:rsidRDefault="00AF1BB2" w:rsidP="00FA6640">
          <w:pPr>
            <w:pStyle w:val="ListParagraph"/>
            <w:numPr>
              <w:ilvl w:val="0"/>
              <w:numId w:val="56"/>
            </w:numPr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color w:val="auto"/>
            </w:rPr>
            <w:t>A</w:t>
          </w:r>
          <w:r w:rsidR="001941A0" w:rsidRPr="00C518AF">
            <w:rPr>
              <w:color w:val="auto"/>
            </w:rPr>
            <w:t>dditional Services (Investor R</w:t>
          </w:r>
          <w:r w:rsidRPr="00C518AF">
            <w:rPr>
              <w:color w:val="auto"/>
            </w:rPr>
            <w:t>elations, Transfer Agent, Post-Meeting Assessment)</w:t>
          </w:r>
          <w:r w:rsidR="00FA6640" w:rsidRPr="00C518AF">
            <w:rPr>
              <w:color w:val="auto"/>
            </w:rPr>
            <w:tab/>
            <w:t>X</w:t>
          </w:r>
        </w:p>
        <w:p w14:paraId="57A4BAC5" w14:textId="71A47689" w:rsidR="00FA6640" w:rsidRPr="00C518AF" w:rsidRDefault="00AF1BB2" w:rsidP="00FA6640">
          <w:pPr>
            <w:pStyle w:val="ListParagraph"/>
            <w:numPr>
              <w:ilvl w:val="0"/>
              <w:numId w:val="56"/>
            </w:numPr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color w:val="auto"/>
            </w:rPr>
            <w:t>Special Arrangements</w:t>
          </w:r>
          <w:r w:rsidR="00FA6640" w:rsidRPr="00C518AF">
            <w:rPr>
              <w:color w:val="auto"/>
            </w:rPr>
            <w:tab/>
            <w:t>X</w:t>
          </w:r>
        </w:p>
        <w:p w14:paraId="659DF96C" w14:textId="73E30632" w:rsidR="00FA6640" w:rsidRPr="00C518AF" w:rsidRDefault="00AF1BB2" w:rsidP="00FA6640">
          <w:pPr>
            <w:pStyle w:val="ListParagraph"/>
            <w:numPr>
              <w:ilvl w:val="0"/>
              <w:numId w:val="56"/>
            </w:numPr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color w:val="auto"/>
            </w:rPr>
            <w:t>Tax Reclamation Services</w:t>
          </w:r>
          <w:r w:rsidR="00FA6640" w:rsidRPr="00C518AF">
            <w:rPr>
              <w:color w:val="auto"/>
            </w:rPr>
            <w:tab/>
            <w:t>X</w:t>
          </w:r>
        </w:p>
        <w:p w14:paraId="7876869D" w14:textId="234DA18D" w:rsidR="00FA6640" w:rsidRPr="00C518AF" w:rsidRDefault="00FA6640" w:rsidP="00FA6640">
          <w:pPr>
            <w:pStyle w:val="ListParagraph"/>
            <w:numPr>
              <w:ilvl w:val="0"/>
              <w:numId w:val="56"/>
            </w:numPr>
            <w:tabs>
              <w:tab w:val="right" w:leader="dot" w:pos="9720"/>
            </w:tabs>
            <w:spacing w:before="0" w:after="0"/>
            <w:rPr>
              <w:color w:val="auto"/>
            </w:rPr>
          </w:pPr>
          <w:r w:rsidRPr="00C518AF">
            <w:rPr>
              <w:color w:val="auto"/>
            </w:rPr>
            <w:t xml:space="preserve">Assessment of the </w:t>
          </w:r>
          <w:r w:rsidR="00AF1BB2" w:rsidRPr="00C518AF">
            <w:rPr>
              <w:color w:val="auto"/>
            </w:rPr>
            <w:t xml:space="preserve">Action Plan for Processing Dividends and Proxies in Accordance </w:t>
          </w:r>
        </w:p>
        <w:p w14:paraId="7372E9B0" w14:textId="03C49904" w:rsidR="00B06C4E" w:rsidRPr="00C518AF" w:rsidRDefault="00AF1BB2" w:rsidP="00C518AF">
          <w:pPr>
            <w:pStyle w:val="ListParagraph"/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color w:val="auto"/>
            </w:rPr>
            <w:t>With the New Disclosure Law</w:t>
          </w:r>
          <w:r w:rsidR="00FA6640" w:rsidRPr="00C518AF">
            <w:rPr>
              <w:color w:val="auto"/>
            </w:rPr>
            <w:tab/>
            <w:t>X</w:t>
          </w:r>
        </w:p>
        <w:p w14:paraId="72230574" w14:textId="152F165F" w:rsidR="001941A0" w:rsidRPr="00C518AF" w:rsidRDefault="001941A0" w:rsidP="001941A0">
          <w:pPr>
            <w:tabs>
              <w:tab w:val="right" w:leader="dot" w:pos="9720"/>
            </w:tabs>
            <w:rPr>
              <w:color w:val="auto"/>
            </w:rPr>
          </w:pPr>
          <w:r w:rsidRPr="00C518AF">
            <w:rPr>
              <w:color w:val="auto"/>
            </w:rPr>
            <w:lastRenderedPageBreak/>
            <w:t xml:space="preserve">AMAG’s </w:t>
          </w:r>
          <w:r w:rsidR="008902E6" w:rsidRPr="00C518AF">
            <w:rPr>
              <w:color w:val="auto"/>
            </w:rPr>
            <w:t>Independent</w:t>
          </w:r>
          <w:r w:rsidRPr="00C518AF">
            <w:rPr>
              <w:color w:val="auto"/>
            </w:rPr>
            <w:t xml:space="preserve"> Recommendation</w:t>
          </w:r>
          <w:bookmarkStart w:id="12" w:name="_GoBack"/>
          <w:bookmarkEnd w:id="12"/>
        </w:p>
        <w:p w14:paraId="44952448" w14:textId="58AE2F3C" w:rsidR="001941A0" w:rsidRPr="00C518AF" w:rsidRDefault="001941A0" w:rsidP="001941A0">
          <w:pPr>
            <w:pStyle w:val="ListParagraph"/>
            <w:numPr>
              <w:ilvl w:val="0"/>
              <w:numId w:val="56"/>
            </w:numPr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color w:val="auto"/>
            </w:rPr>
            <w:t>Certification (AMAG’s Expertise)</w:t>
          </w:r>
          <w:r w:rsidRPr="00C518AF">
            <w:rPr>
              <w:color w:val="auto"/>
            </w:rPr>
            <w:tab/>
            <w:t>X</w:t>
          </w:r>
        </w:p>
        <w:p w14:paraId="289DC2A3" w14:textId="4C4D327F" w:rsidR="001941A0" w:rsidRPr="00C518AF" w:rsidRDefault="001941A0" w:rsidP="001941A0">
          <w:pPr>
            <w:pStyle w:val="ListParagraph"/>
            <w:numPr>
              <w:ilvl w:val="0"/>
              <w:numId w:val="56"/>
            </w:numPr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color w:val="auto"/>
            </w:rPr>
            <w:t>Summary of Work Done</w:t>
          </w:r>
          <w:r w:rsidRPr="00C518AF">
            <w:rPr>
              <w:color w:val="auto"/>
            </w:rPr>
            <w:tab/>
            <w:t>X</w:t>
          </w:r>
        </w:p>
        <w:p w14:paraId="4740B0F2" w14:textId="2605340E" w:rsidR="001941A0" w:rsidRPr="00C518AF" w:rsidRDefault="001941A0" w:rsidP="001941A0">
          <w:pPr>
            <w:pStyle w:val="ListParagraph"/>
            <w:numPr>
              <w:ilvl w:val="0"/>
              <w:numId w:val="56"/>
            </w:numPr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color w:val="auto"/>
            </w:rPr>
            <w:t>Conclusion</w:t>
          </w:r>
          <w:r w:rsidRPr="00C518AF">
            <w:rPr>
              <w:color w:val="auto"/>
            </w:rPr>
            <w:tab/>
            <w:t>X</w:t>
          </w:r>
        </w:p>
        <w:p w14:paraId="40777E83" w14:textId="010CAD66" w:rsidR="00A22AF3" w:rsidRPr="00C518AF" w:rsidRDefault="001941A0" w:rsidP="00A22AF3">
          <w:pPr>
            <w:tabs>
              <w:tab w:val="left" w:pos="720"/>
              <w:tab w:val="right" w:leader="dot" w:pos="9360"/>
            </w:tabs>
            <w:rPr>
              <w:color w:val="auto"/>
            </w:rPr>
          </w:pPr>
          <w:r w:rsidRPr="00C518AF">
            <w:rPr>
              <w:color w:val="auto"/>
            </w:rPr>
            <w:t>Appendices</w:t>
          </w:r>
          <w:r w:rsidR="00A22AF3" w:rsidRPr="00C518AF">
            <w:rPr>
              <w:color w:val="auto"/>
            </w:rPr>
            <w:tab/>
          </w:r>
          <w:r w:rsidRPr="00C518AF">
            <w:rPr>
              <w:color w:val="auto"/>
            </w:rPr>
            <w:t>X</w:t>
          </w:r>
        </w:p>
        <w:p w14:paraId="1E701D78" w14:textId="77777777" w:rsidR="00A22AF3" w:rsidRPr="00C518AF" w:rsidRDefault="00A22AF3" w:rsidP="00C518AF">
          <w:pPr>
            <w:pStyle w:val="TOCHeading"/>
          </w:pPr>
        </w:p>
        <w:p w14:paraId="1C994E41" w14:textId="03B3A93C" w:rsidR="00A22AF3" w:rsidRDefault="00A22AF3"/>
      </w:sdtContent>
    </w:sdt>
    <w:p w14:paraId="1844B0BD" w14:textId="77777777" w:rsidR="00F35F97" w:rsidRPr="00EC3304" w:rsidRDefault="00F35F97" w:rsidP="00F35F97">
      <w:pPr>
        <w:rPr>
          <w:rFonts w:ascii="Cambria" w:hAnsi="Cambria"/>
          <w:szCs w:val="24"/>
        </w:rPr>
      </w:pPr>
    </w:p>
    <w:bookmarkEnd w:id="6"/>
    <w:bookmarkEnd w:id="7"/>
    <w:bookmarkEnd w:id="8"/>
    <w:p w14:paraId="2992241E" w14:textId="77777777" w:rsidR="00885650" w:rsidRDefault="00885650">
      <w:pPr>
        <w:spacing w:before="0" w:after="0"/>
      </w:pPr>
      <w:r>
        <w:br w:type="page"/>
      </w:r>
    </w:p>
    <w:p w14:paraId="6680653E" w14:textId="77777777" w:rsidR="00760E1E" w:rsidRPr="00F0730C" w:rsidRDefault="00134AF3">
      <w:pPr>
        <w:pStyle w:val="Heading1"/>
        <w:rPr>
          <w:szCs w:val="26"/>
        </w:rPr>
      </w:pPr>
      <w:bookmarkStart w:id="13" w:name="_Toc241974685"/>
      <w:bookmarkStart w:id="14" w:name="_Toc378334991"/>
      <w:r>
        <w:lastRenderedPageBreak/>
        <w:t>Executive Summary and Results</w:t>
      </w:r>
      <w:bookmarkEnd w:id="13"/>
      <w:bookmarkEnd w:id="14"/>
    </w:p>
    <w:p w14:paraId="66B8F8C4" w14:textId="77777777" w:rsidR="00651B1E" w:rsidRDefault="00651B1E" w:rsidP="00760E1E">
      <w:p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XXXXXXXXXXXXXXXXXXXXXXXXXXXXXXXXXXXXXXXXXXXXXXXXXXXXXX</w:t>
      </w:r>
    </w:p>
    <w:p w14:paraId="612C5550" w14:textId="77777777" w:rsidR="00651B1E" w:rsidRDefault="00651B1E" w:rsidP="00760E1E">
      <w:pPr>
        <w:jc w:val="both"/>
        <w:rPr>
          <w:rFonts w:ascii="Cambria" w:hAnsi="Cambria"/>
          <w:sz w:val="22"/>
        </w:rPr>
      </w:pPr>
    </w:p>
    <w:p w14:paraId="7CD1BD4B" w14:textId="77777777" w:rsidR="006062B0" w:rsidRDefault="006062B0" w:rsidP="00760E1E">
      <w:pPr>
        <w:jc w:val="both"/>
        <w:rPr>
          <w:rFonts w:ascii="Cambria" w:hAnsi="Cambria"/>
          <w:sz w:val="22"/>
        </w:rPr>
      </w:pPr>
    </w:p>
    <w:p w14:paraId="1557E148" w14:textId="77777777" w:rsidR="00BE0C48" w:rsidRDefault="00BE0C48" w:rsidP="00E024FB">
      <w:pPr>
        <w:spacing w:after="0"/>
        <w:rPr>
          <w:rFonts w:ascii="Cambria" w:hAnsi="Cambria"/>
          <w:sz w:val="22"/>
        </w:rPr>
      </w:pPr>
    </w:p>
    <w:p w14:paraId="676A4485" w14:textId="77777777" w:rsidR="00D32BA7" w:rsidRDefault="00D32BA7">
      <w:pPr>
        <w:spacing w:before="0" w:after="0"/>
        <w:rPr>
          <w:rFonts w:ascii="Cambria" w:hAnsi="Cambria"/>
          <w:b/>
          <w:color w:val="ED1C24"/>
        </w:rPr>
      </w:pPr>
    </w:p>
    <w:p w14:paraId="72D39973" w14:textId="77777777" w:rsidR="006947A5" w:rsidRDefault="006947A5">
      <w:pPr>
        <w:spacing w:before="0" w:after="0"/>
      </w:pPr>
    </w:p>
    <w:p w14:paraId="3AB2C9A3" w14:textId="77777777" w:rsidR="006947A5" w:rsidRDefault="006947A5">
      <w:pPr>
        <w:spacing w:before="0" w:after="0"/>
      </w:pPr>
    </w:p>
    <w:p w14:paraId="77EE4B9A" w14:textId="77777777" w:rsidR="006947A5" w:rsidRDefault="006947A5">
      <w:pPr>
        <w:spacing w:before="0" w:after="0"/>
      </w:pPr>
    </w:p>
    <w:p w14:paraId="0BD7478A" w14:textId="77777777" w:rsidR="006947A5" w:rsidRDefault="006947A5">
      <w:pPr>
        <w:spacing w:before="0" w:after="0"/>
      </w:pPr>
    </w:p>
    <w:p w14:paraId="5CE01E85" w14:textId="77777777" w:rsidR="006947A5" w:rsidRDefault="006947A5">
      <w:pPr>
        <w:spacing w:before="0" w:after="0"/>
      </w:pPr>
    </w:p>
    <w:p w14:paraId="1CFFC6A9" w14:textId="77777777" w:rsidR="006947A5" w:rsidRDefault="006947A5">
      <w:pPr>
        <w:spacing w:before="0" w:after="0"/>
      </w:pPr>
    </w:p>
    <w:p w14:paraId="1B74FBEB" w14:textId="77777777" w:rsidR="006947A5" w:rsidRDefault="006947A5">
      <w:pPr>
        <w:spacing w:before="0" w:after="0"/>
      </w:pPr>
    </w:p>
    <w:p w14:paraId="71F11486" w14:textId="77777777" w:rsidR="006947A5" w:rsidRDefault="006947A5">
      <w:pPr>
        <w:spacing w:before="0" w:after="0"/>
      </w:pPr>
    </w:p>
    <w:p w14:paraId="48AD54B0" w14:textId="77777777" w:rsidR="006947A5" w:rsidRDefault="006947A5">
      <w:pPr>
        <w:spacing w:before="0" w:after="0"/>
      </w:pPr>
    </w:p>
    <w:p w14:paraId="3C96AF17" w14:textId="77777777" w:rsidR="006947A5" w:rsidRDefault="006947A5">
      <w:pPr>
        <w:spacing w:before="0" w:after="0"/>
      </w:pPr>
    </w:p>
    <w:p w14:paraId="7BC7E64F" w14:textId="77777777" w:rsidR="006947A5" w:rsidRDefault="006947A5">
      <w:pPr>
        <w:spacing w:before="0" w:after="0"/>
      </w:pPr>
    </w:p>
    <w:p w14:paraId="3EDB668D" w14:textId="77777777" w:rsidR="006947A5" w:rsidRDefault="006947A5">
      <w:pPr>
        <w:spacing w:before="0" w:after="0"/>
      </w:pPr>
    </w:p>
    <w:p w14:paraId="01FA00D3" w14:textId="77777777" w:rsidR="006947A5" w:rsidRDefault="006947A5">
      <w:pPr>
        <w:spacing w:before="0" w:after="0"/>
      </w:pPr>
    </w:p>
    <w:p w14:paraId="6EFE4AB5" w14:textId="77777777" w:rsidR="006947A5" w:rsidRDefault="006947A5">
      <w:pPr>
        <w:spacing w:before="0" w:after="0"/>
      </w:pPr>
    </w:p>
    <w:p w14:paraId="2C84FA78" w14:textId="77777777" w:rsidR="006947A5" w:rsidRDefault="006947A5">
      <w:pPr>
        <w:spacing w:before="0" w:after="0"/>
      </w:pPr>
    </w:p>
    <w:p w14:paraId="0489899E" w14:textId="77777777" w:rsidR="006947A5" w:rsidRDefault="006947A5">
      <w:pPr>
        <w:spacing w:before="0" w:after="0"/>
      </w:pPr>
    </w:p>
    <w:p w14:paraId="2B711278" w14:textId="77777777" w:rsidR="006947A5" w:rsidRDefault="006947A5">
      <w:pPr>
        <w:spacing w:before="0" w:after="0"/>
      </w:pPr>
    </w:p>
    <w:p w14:paraId="2BDE558B" w14:textId="77777777" w:rsidR="006947A5" w:rsidRDefault="006947A5">
      <w:pPr>
        <w:spacing w:before="0" w:after="0"/>
      </w:pPr>
    </w:p>
    <w:p w14:paraId="0B848812" w14:textId="77777777" w:rsidR="006947A5" w:rsidRDefault="006947A5">
      <w:pPr>
        <w:spacing w:before="0" w:after="0"/>
      </w:pPr>
    </w:p>
    <w:p w14:paraId="7664D475" w14:textId="77777777" w:rsidR="006947A5" w:rsidRDefault="006947A5">
      <w:pPr>
        <w:spacing w:before="0" w:after="0"/>
      </w:pPr>
    </w:p>
    <w:p w14:paraId="15377602" w14:textId="77777777" w:rsidR="006947A5" w:rsidRDefault="006947A5">
      <w:pPr>
        <w:spacing w:before="0" w:after="0"/>
      </w:pPr>
    </w:p>
    <w:p w14:paraId="0BB6D49D" w14:textId="77777777" w:rsidR="006947A5" w:rsidRDefault="006947A5">
      <w:pPr>
        <w:spacing w:before="0" w:after="0"/>
      </w:pPr>
    </w:p>
    <w:p w14:paraId="0007531F" w14:textId="77777777" w:rsidR="006947A5" w:rsidRDefault="006947A5">
      <w:pPr>
        <w:spacing w:before="0" w:after="0"/>
      </w:pPr>
    </w:p>
    <w:p w14:paraId="340C75B3" w14:textId="77777777" w:rsidR="006947A5" w:rsidRDefault="006947A5">
      <w:pPr>
        <w:spacing w:before="0" w:after="0"/>
      </w:pPr>
    </w:p>
    <w:p w14:paraId="5D0C18A9" w14:textId="77777777" w:rsidR="006947A5" w:rsidRDefault="006947A5">
      <w:pPr>
        <w:spacing w:before="0" w:after="0"/>
      </w:pPr>
    </w:p>
    <w:p w14:paraId="341B018F" w14:textId="77777777" w:rsidR="006947A5" w:rsidRDefault="006947A5">
      <w:pPr>
        <w:spacing w:before="0" w:after="0"/>
      </w:pPr>
    </w:p>
    <w:p w14:paraId="0B178F96" w14:textId="77777777" w:rsidR="006947A5" w:rsidRDefault="006947A5">
      <w:pPr>
        <w:spacing w:before="0" w:after="0"/>
      </w:pPr>
    </w:p>
    <w:p w14:paraId="21EC2FA8" w14:textId="77777777" w:rsidR="006947A5" w:rsidRDefault="006947A5">
      <w:pPr>
        <w:spacing w:before="0" w:after="0"/>
      </w:pPr>
    </w:p>
    <w:p w14:paraId="7CED026A" w14:textId="77777777" w:rsidR="006947A5" w:rsidRDefault="006947A5">
      <w:pPr>
        <w:spacing w:before="0" w:after="0"/>
      </w:pPr>
    </w:p>
    <w:p w14:paraId="2B829A2A" w14:textId="77777777" w:rsidR="006947A5" w:rsidRDefault="006947A5">
      <w:pPr>
        <w:spacing w:before="0" w:after="0"/>
      </w:pPr>
    </w:p>
    <w:p w14:paraId="4C610843" w14:textId="77777777" w:rsidR="006947A5" w:rsidRDefault="006947A5">
      <w:pPr>
        <w:spacing w:before="0" w:after="0"/>
      </w:pPr>
    </w:p>
    <w:p w14:paraId="4186C55C" w14:textId="77777777" w:rsidR="006947A5" w:rsidRDefault="006947A5">
      <w:pPr>
        <w:spacing w:before="0" w:after="0"/>
      </w:pPr>
    </w:p>
    <w:p w14:paraId="6A4E3E26" w14:textId="77777777" w:rsidR="006947A5" w:rsidRDefault="006947A5">
      <w:pPr>
        <w:spacing w:before="0" w:after="0"/>
      </w:pPr>
    </w:p>
    <w:p w14:paraId="56B32EF1" w14:textId="77777777" w:rsidR="006947A5" w:rsidRDefault="006947A5">
      <w:pPr>
        <w:spacing w:before="0" w:after="0"/>
      </w:pPr>
    </w:p>
    <w:p w14:paraId="2E3DEFB2" w14:textId="77777777" w:rsidR="00A03EE6" w:rsidRDefault="00A03EE6">
      <w:pPr>
        <w:pStyle w:val="Heading1"/>
      </w:pPr>
    </w:p>
    <w:p w14:paraId="331CA60C" w14:textId="354C178A" w:rsidR="00E945B7" w:rsidRPr="00C41978" w:rsidRDefault="006947A5">
      <w:pPr>
        <w:pStyle w:val="Heading1"/>
      </w:pPr>
      <w:bookmarkStart w:id="15" w:name="_Toc378334992"/>
      <w:r w:rsidRPr="00C41978">
        <w:t xml:space="preserve">Overview of </w:t>
      </w:r>
      <w:r w:rsidR="000642F7">
        <w:t xml:space="preserve">the </w:t>
      </w:r>
      <w:r w:rsidRPr="00C41978">
        <w:t>DR</w:t>
      </w:r>
      <w:r w:rsidR="00E945B7" w:rsidRPr="00C41978">
        <w:t xml:space="preserve"> </w:t>
      </w:r>
      <w:r w:rsidR="000642F7">
        <w:t>M</w:t>
      </w:r>
      <w:r w:rsidR="00E945B7" w:rsidRPr="00C41978">
        <w:t>arket</w:t>
      </w:r>
      <w:r w:rsidR="00C82738" w:rsidRPr="00C41978">
        <w:t xml:space="preserve"> (DR Liquidity)</w:t>
      </w:r>
      <w:bookmarkEnd w:id="15"/>
    </w:p>
    <w:p w14:paraId="6D1AF3AC" w14:textId="77777777" w:rsidR="00993E2C" w:rsidRDefault="00993E2C" w:rsidP="00A3777B">
      <w:pPr>
        <w:jc w:val="both"/>
        <w:rPr>
          <w:rFonts w:ascii="Cambria" w:hAnsi="Cambria"/>
        </w:rPr>
      </w:pPr>
    </w:p>
    <w:p w14:paraId="3E02FB1B" w14:textId="70136335" w:rsidR="002E281A" w:rsidRPr="00F86720" w:rsidRDefault="002E281A" w:rsidP="00A3777B">
      <w:pPr>
        <w:jc w:val="both"/>
        <w:rPr>
          <w:rFonts w:ascii="Cambria" w:hAnsi="Cambria"/>
          <w:color w:val="auto"/>
        </w:rPr>
      </w:pPr>
      <w:r w:rsidRPr="00F86720">
        <w:rPr>
          <w:rFonts w:ascii="Cambria" w:hAnsi="Cambria"/>
          <w:color w:val="auto"/>
        </w:rPr>
        <w:t>As of June 2013</w:t>
      </w:r>
      <w:r w:rsidR="000642F7">
        <w:rPr>
          <w:rFonts w:ascii="Cambria" w:hAnsi="Cambria"/>
          <w:color w:val="auto"/>
        </w:rPr>
        <w:t>,</w:t>
      </w:r>
      <w:r w:rsidRPr="00F86720">
        <w:rPr>
          <w:rFonts w:ascii="Cambria" w:hAnsi="Cambria"/>
          <w:color w:val="auto"/>
        </w:rPr>
        <w:t xml:space="preserve"> overall</w:t>
      </w:r>
      <w:r w:rsidR="000642F7">
        <w:rPr>
          <w:rFonts w:ascii="Cambria" w:hAnsi="Cambria"/>
          <w:color w:val="auto"/>
        </w:rPr>
        <w:t xml:space="preserve"> worldwide</w:t>
      </w:r>
      <w:r w:rsidRPr="00F86720">
        <w:rPr>
          <w:rFonts w:ascii="Cambria" w:hAnsi="Cambria"/>
          <w:color w:val="auto"/>
        </w:rPr>
        <w:t xml:space="preserve"> trading volume for depositary re</w:t>
      </w:r>
      <w:r w:rsidR="00840E12">
        <w:rPr>
          <w:rFonts w:ascii="Cambria" w:hAnsi="Cambria"/>
          <w:color w:val="auto"/>
        </w:rPr>
        <w:t xml:space="preserve">ceipts (“DRs”) accounted to 72 billion </w:t>
      </w:r>
      <w:r w:rsidR="00DC4919">
        <w:rPr>
          <w:rFonts w:ascii="Cambria" w:hAnsi="Cambria"/>
          <w:color w:val="auto"/>
        </w:rPr>
        <w:t>DRs</w:t>
      </w:r>
      <w:r w:rsidR="000642F7">
        <w:rPr>
          <w:rFonts w:ascii="Cambria" w:hAnsi="Cambria"/>
          <w:color w:val="auto"/>
        </w:rPr>
        <w:t>,</w:t>
      </w:r>
      <w:r w:rsidR="00DC4919">
        <w:rPr>
          <w:rFonts w:ascii="Cambria" w:hAnsi="Cambria"/>
          <w:color w:val="auto"/>
        </w:rPr>
        <w:t xml:space="preserve"> </w:t>
      </w:r>
      <w:r w:rsidR="00840E12">
        <w:rPr>
          <w:rFonts w:ascii="Cambria" w:hAnsi="Cambria"/>
          <w:color w:val="auto"/>
        </w:rPr>
        <w:t>compared to 78</w:t>
      </w:r>
      <w:r w:rsidRPr="00F86720">
        <w:rPr>
          <w:rFonts w:ascii="Cambria" w:hAnsi="Cambria"/>
          <w:color w:val="auto"/>
        </w:rPr>
        <w:t xml:space="preserve"> billion DRs </w:t>
      </w:r>
      <w:r w:rsidR="000642F7">
        <w:rPr>
          <w:rFonts w:ascii="Cambria" w:hAnsi="Cambria"/>
          <w:color w:val="auto"/>
        </w:rPr>
        <w:t>at June 2012</w:t>
      </w:r>
      <w:r w:rsidR="00E76412">
        <w:rPr>
          <w:rFonts w:ascii="Cambria" w:hAnsi="Cambria"/>
          <w:color w:val="auto"/>
        </w:rPr>
        <w:t>, the same time the prior year</w:t>
      </w:r>
      <w:r w:rsidRPr="00F86720">
        <w:rPr>
          <w:rFonts w:ascii="Cambria" w:hAnsi="Cambria"/>
          <w:color w:val="auto"/>
        </w:rPr>
        <w:t xml:space="preserve">. </w:t>
      </w:r>
      <w:r w:rsidR="00E76412">
        <w:rPr>
          <w:rFonts w:ascii="Cambria" w:hAnsi="Cambria"/>
          <w:color w:val="auto"/>
        </w:rPr>
        <w:t xml:space="preserve"> </w:t>
      </w:r>
      <w:r w:rsidRPr="00F86720">
        <w:rPr>
          <w:rFonts w:ascii="Cambria" w:hAnsi="Cambria"/>
          <w:color w:val="auto"/>
        </w:rPr>
        <w:t>There was a decrease of 6.0 billion DRs</w:t>
      </w:r>
      <w:r w:rsidR="00E76412">
        <w:rPr>
          <w:rFonts w:ascii="Cambria" w:hAnsi="Cambria"/>
          <w:color w:val="auto"/>
        </w:rPr>
        <w:t>,</w:t>
      </w:r>
      <w:r w:rsidRPr="00F86720">
        <w:rPr>
          <w:rFonts w:ascii="Cambria" w:hAnsi="Cambria"/>
          <w:color w:val="auto"/>
        </w:rPr>
        <w:t xml:space="preserve"> or 8% YTY.  In light of market turmoil, </w:t>
      </w:r>
      <w:r w:rsidR="000642F7">
        <w:rPr>
          <w:rFonts w:ascii="Cambria" w:hAnsi="Cambria"/>
          <w:color w:val="auto"/>
        </w:rPr>
        <w:t xml:space="preserve">the </w:t>
      </w:r>
      <w:r w:rsidRPr="00F86720">
        <w:rPr>
          <w:rFonts w:ascii="Cambria" w:hAnsi="Cambria"/>
          <w:color w:val="auto"/>
        </w:rPr>
        <w:t xml:space="preserve">overall size of </w:t>
      </w:r>
      <w:r w:rsidR="000642F7">
        <w:rPr>
          <w:rFonts w:ascii="Cambria" w:hAnsi="Cambria"/>
          <w:color w:val="auto"/>
        </w:rPr>
        <w:t xml:space="preserve">DR </w:t>
      </w:r>
      <w:r w:rsidRPr="00F86720">
        <w:rPr>
          <w:rFonts w:ascii="Cambria" w:hAnsi="Cambria"/>
          <w:color w:val="auto"/>
        </w:rPr>
        <w:t xml:space="preserve">trading volume decreased across all major venues and regions. </w:t>
      </w:r>
      <w:r w:rsidR="00E76412">
        <w:rPr>
          <w:rFonts w:ascii="Cambria" w:hAnsi="Cambria"/>
          <w:color w:val="auto"/>
        </w:rPr>
        <w:t xml:space="preserve"> </w:t>
      </w:r>
      <w:r w:rsidR="000642F7">
        <w:rPr>
          <w:rFonts w:ascii="Cambria" w:hAnsi="Cambria"/>
          <w:color w:val="auto"/>
        </w:rPr>
        <w:t>Regarding t</w:t>
      </w:r>
      <w:r w:rsidRPr="00F86720">
        <w:rPr>
          <w:rFonts w:ascii="Cambria" w:hAnsi="Cambria"/>
          <w:color w:val="auto"/>
        </w:rPr>
        <w:t>he biggest drop</w:t>
      </w:r>
      <w:r w:rsidR="000642F7">
        <w:rPr>
          <w:rFonts w:ascii="Cambria" w:hAnsi="Cambria"/>
          <w:color w:val="auto"/>
        </w:rPr>
        <w:t>s</w:t>
      </w:r>
      <w:r w:rsidRPr="00F86720">
        <w:rPr>
          <w:rFonts w:ascii="Cambria" w:hAnsi="Cambria"/>
          <w:color w:val="auto"/>
        </w:rPr>
        <w:t xml:space="preserve"> in </w:t>
      </w:r>
      <w:r w:rsidR="000642F7">
        <w:rPr>
          <w:rFonts w:ascii="Cambria" w:hAnsi="Cambria"/>
          <w:color w:val="auto"/>
        </w:rPr>
        <w:t xml:space="preserve">DR </w:t>
      </w:r>
      <w:r w:rsidRPr="00F86720">
        <w:rPr>
          <w:rFonts w:ascii="Cambria" w:hAnsi="Cambria"/>
          <w:color w:val="auto"/>
        </w:rPr>
        <w:t xml:space="preserve">trading volume, NYSE Euronext (“NYSE”) </w:t>
      </w:r>
      <w:r w:rsidR="00E76412">
        <w:rPr>
          <w:rFonts w:ascii="Cambria" w:hAnsi="Cambria"/>
          <w:color w:val="auto"/>
        </w:rPr>
        <w:t>reported an almost 2.</w:t>
      </w:r>
      <w:r w:rsidR="00E76412" w:rsidRPr="00F86720">
        <w:rPr>
          <w:rFonts w:ascii="Cambria" w:hAnsi="Cambria"/>
          <w:color w:val="auto"/>
        </w:rPr>
        <w:t>5 billion decrease</w:t>
      </w:r>
      <w:r w:rsidR="00E76412">
        <w:rPr>
          <w:rFonts w:ascii="Cambria" w:hAnsi="Cambria"/>
          <w:color w:val="auto"/>
        </w:rPr>
        <w:t xml:space="preserve">, </w:t>
      </w:r>
      <w:r w:rsidR="00BD2235">
        <w:rPr>
          <w:rFonts w:ascii="Cambria" w:hAnsi="Cambria"/>
          <w:color w:val="auto"/>
        </w:rPr>
        <w:t>while</w:t>
      </w:r>
      <w:r w:rsidR="00E76412">
        <w:rPr>
          <w:rFonts w:ascii="Cambria" w:hAnsi="Cambria"/>
          <w:color w:val="auto"/>
        </w:rPr>
        <w:t xml:space="preserve"> the London Stock Exchange (“LSE”)</w:t>
      </w:r>
      <w:r w:rsidR="00E76412" w:rsidRPr="00F86720">
        <w:rPr>
          <w:rFonts w:ascii="Cambria" w:hAnsi="Cambria"/>
          <w:color w:val="auto"/>
        </w:rPr>
        <w:t xml:space="preserve"> </w:t>
      </w:r>
      <w:r w:rsidR="00E76412">
        <w:rPr>
          <w:rFonts w:ascii="Cambria" w:hAnsi="Cambria"/>
          <w:color w:val="auto"/>
        </w:rPr>
        <w:t xml:space="preserve">recorded </w:t>
      </w:r>
      <w:r w:rsidRPr="00F86720">
        <w:rPr>
          <w:rFonts w:ascii="Cambria" w:hAnsi="Cambria"/>
          <w:color w:val="auto"/>
        </w:rPr>
        <w:t>a 2.3 billion decrease</w:t>
      </w:r>
      <w:r w:rsidR="00E76412">
        <w:rPr>
          <w:rFonts w:ascii="Cambria" w:hAnsi="Cambria"/>
          <w:color w:val="auto"/>
        </w:rPr>
        <w:t>.</w:t>
      </w:r>
    </w:p>
    <w:p w14:paraId="13680AC3" w14:textId="430592F1" w:rsidR="002E281A" w:rsidRPr="00F86720" w:rsidRDefault="003E72B2" w:rsidP="00A3777B">
      <w:pPr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T</w:t>
      </w:r>
      <w:r w:rsidR="002E281A" w:rsidRPr="00F86720">
        <w:rPr>
          <w:rFonts w:ascii="Cambria" w:hAnsi="Cambria"/>
          <w:color w:val="auto"/>
        </w:rPr>
        <w:t>he largest drop in DR trading volume was among Brazilian issuers (1</w:t>
      </w:r>
      <w:r w:rsidR="00E76412">
        <w:rPr>
          <w:rFonts w:ascii="Cambria" w:hAnsi="Cambria"/>
          <w:color w:val="auto"/>
        </w:rPr>
        <w:t>.</w:t>
      </w:r>
      <w:r w:rsidR="002E281A" w:rsidRPr="00F86720">
        <w:rPr>
          <w:rFonts w:ascii="Cambria" w:hAnsi="Cambria"/>
          <w:color w:val="auto"/>
        </w:rPr>
        <w:t>5 billion DRs) and Fr</w:t>
      </w:r>
      <w:r w:rsidR="00E76412">
        <w:rPr>
          <w:rFonts w:ascii="Cambria" w:hAnsi="Cambria"/>
          <w:color w:val="auto"/>
        </w:rPr>
        <w:t>ench</w:t>
      </w:r>
      <w:r w:rsidR="002E281A" w:rsidRPr="00F86720">
        <w:rPr>
          <w:rFonts w:ascii="Cambria" w:hAnsi="Cambria"/>
          <w:color w:val="auto"/>
        </w:rPr>
        <w:t xml:space="preserve"> issuers (1</w:t>
      </w:r>
      <w:r w:rsidR="00E76412">
        <w:rPr>
          <w:rFonts w:ascii="Cambria" w:hAnsi="Cambria"/>
          <w:color w:val="auto"/>
        </w:rPr>
        <w:t>.</w:t>
      </w:r>
      <w:r w:rsidR="002E281A" w:rsidRPr="00F86720">
        <w:rPr>
          <w:rFonts w:ascii="Cambria" w:hAnsi="Cambria"/>
          <w:color w:val="auto"/>
        </w:rPr>
        <w:t xml:space="preserve">5 billion DRs). </w:t>
      </w:r>
      <w:r w:rsidR="00E76412">
        <w:rPr>
          <w:rFonts w:ascii="Cambria" w:hAnsi="Cambria"/>
          <w:color w:val="auto"/>
        </w:rPr>
        <w:t xml:space="preserve"> </w:t>
      </w:r>
      <w:r w:rsidR="002E281A" w:rsidRPr="00F86720">
        <w:rPr>
          <w:rFonts w:ascii="Cambria" w:hAnsi="Cambria"/>
          <w:color w:val="auto"/>
        </w:rPr>
        <w:t xml:space="preserve">They both accounted for the majority of the </w:t>
      </w:r>
      <w:r w:rsidR="00FE356D">
        <w:rPr>
          <w:rFonts w:ascii="Cambria" w:hAnsi="Cambria"/>
          <w:color w:val="auto"/>
        </w:rPr>
        <w:t xml:space="preserve">NYSE’s </w:t>
      </w:r>
      <w:r w:rsidR="002E281A" w:rsidRPr="00F86720">
        <w:rPr>
          <w:rFonts w:ascii="Cambria" w:hAnsi="Cambria"/>
          <w:color w:val="auto"/>
        </w:rPr>
        <w:t>decrease</w:t>
      </w:r>
      <w:r w:rsidR="00BD2235">
        <w:rPr>
          <w:rFonts w:ascii="Cambria" w:hAnsi="Cambria"/>
          <w:color w:val="auto"/>
        </w:rPr>
        <w:t>d</w:t>
      </w:r>
      <w:r w:rsidR="002E281A" w:rsidRPr="00F86720">
        <w:rPr>
          <w:rFonts w:ascii="Cambria" w:hAnsi="Cambria"/>
          <w:color w:val="auto"/>
        </w:rPr>
        <w:t xml:space="preserve"> trading volume.  Also, a significant decrease in trading volumes </w:t>
      </w:r>
      <w:r w:rsidR="00FE356D">
        <w:rPr>
          <w:rFonts w:ascii="Cambria" w:hAnsi="Cambria"/>
          <w:color w:val="auto"/>
        </w:rPr>
        <w:t>from</w:t>
      </w:r>
      <w:r w:rsidR="00FE356D" w:rsidRPr="00F86720">
        <w:rPr>
          <w:rFonts w:ascii="Cambria" w:hAnsi="Cambria"/>
          <w:color w:val="auto"/>
        </w:rPr>
        <w:t xml:space="preserve"> Russia</w:t>
      </w:r>
      <w:r w:rsidR="00FE356D">
        <w:rPr>
          <w:rFonts w:ascii="Cambria" w:hAnsi="Cambria"/>
          <w:color w:val="auto"/>
        </w:rPr>
        <w:t xml:space="preserve">n </w:t>
      </w:r>
      <w:r w:rsidR="002E281A" w:rsidRPr="00F86720">
        <w:rPr>
          <w:rFonts w:ascii="Cambria" w:hAnsi="Cambria"/>
          <w:color w:val="auto"/>
        </w:rPr>
        <w:t>issuers (2</w:t>
      </w:r>
      <w:r w:rsidR="00FE356D">
        <w:rPr>
          <w:rFonts w:ascii="Cambria" w:hAnsi="Cambria"/>
          <w:color w:val="auto"/>
        </w:rPr>
        <w:t>.</w:t>
      </w:r>
      <w:r w:rsidR="002E281A" w:rsidRPr="00F86720">
        <w:rPr>
          <w:rFonts w:ascii="Cambria" w:hAnsi="Cambria"/>
          <w:color w:val="auto"/>
        </w:rPr>
        <w:t xml:space="preserve">3 billion DRs) accounted for the majority of </w:t>
      </w:r>
      <w:r w:rsidR="00FE356D">
        <w:rPr>
          <w:rFonts w:ascii="Cambria" w:hAnsi="Cambria"/>
          <w:color w:val="auto"/>
        </w:rPr>
        <w:t xml:space="preserve">the LSE’s </w:t>
      </w:r>
      <w:r w:rsidR="002E281A" w:rsidRPr="00F86720">
        <w:rPr>
          <w:rFonts w:ascii="Cambria" w:hAnsi="Cambria"/>
          <w:color w:val="auto"/>
        </w:rPr>
        <w:t xml:space="preserve">decrease trading volume. </w:t>
      </w:r>
    </w:p>
    <w:p w14:paraId="1971870D" w14:textId="08A987F6" w:rsidR="002E281A" w:rsidRPr="00F86720" w:rsidRDefault="002E281A" w:rsidP="00A3777B">
      <w:pPr>
        <w:jc w:val="both"/>
        <w:rPr>
          <w:rFonts w:ascii="Cambria" w:hAnsi="Cambria"/>
          <w:color w:val="auto"/>
        </w:rPr>
      </w:pPr>
      <w:r w:rsidRPr="00F86720">
        <w:rPr>
          <w:rFonts w:ascii="Cambria" w:hAnsi="Cambria"/>
          <w:color w:val="auto"/>
        </w:rPr>
        <w:t xml:space="preserve">Based on </w:t>
      </w:r>
      <w:r w:rsidR="00EE4E3D">
        <w:rPr>
          <w:rFonts w:ascii="Cambria" w:hAnsi="Cambria"/>
          <w:color w:val="auto"/>
        </w:rPr>
        <w:t xml:space="preserve">trading </w:t>
      </w:r>
      <w:r w:rsidRPr="00F86720">
        <w:rPr>
          <w:rFonts w:ascii="Cambria" w:hAnsi="Cambria"/>
          <w:color w:val="auto"/>
        </w:rPr>
        <w:t xml:space="preserve">statistics, NASDAQ did not suffer as much as NYSE and LSE during the first half of 2013. </w:t>
      </w:r>
      <w:r w:rsidR="00F74171">
        <w:rPr>
          <w:rFonts w:ascii="Cambria" w:hAnsi="Cambria"/>
          <w:color w:val="auto"/>
        </w:rPr>
        <w:t xml:space="preserve"> </w:t>
      </w:r>
      <w:r w:rsidRPr="00F86720">
        <w:rPr>
          <w:rFonts w:ascii="Cambria" w:hAnsi="Cambria"/>
          <w:color w:val="auto"/>
        </w:rPr>
        <w:t>Overall trading volumes on NASDAQ were down mainly due to a drop in trading volumes of companies from Hong Kong (260 million DRs) and China (235 million DRs)</w:t>
      </w:r>
      <w:r w:rsidR="00F74171">
        <w:rPr>
          <w:rFonts w:ascii="Cambria" w:hAnsi="Cambria"/>
          <w:color w:val="auto"/>
        </w:rPr>
        <w:t xml:space="preserve">. </w:t>
      </w:r>
      <w:r w:rsidRPr="00F86720">
        <w:rPr>
          <w:rFonts w:ascii="Cambria" w:hAnsi="Cambria"/>
          <w:color w:val="auto"/>
        </w:rPr>
        <w:t xml:space="preserve"> </w:t>
      </w:r>
      <w:r w:rsidR="00F74171">
        <w:rPr>
          <w:rFonts w:ascii="Cambria" w:hAnsi="Cambria"/>
          <w:color w:val="auto"/>
        </w:rPr>
        <w:t>This drop was</w:t>
      </w:r>
      <w:r w:rsidR="00F74171" w:rsidRPr="00F86720">
        <w:rPr>
          <w:rFonts w:ascii="Cambria" w:hAnsi="Cambria"/>
          <w:color w:val="auto"/>
        </w:rPr>
        <w:t xml:space="preserve"> </w:t>
      </w:r>
      <w:r w:rsidRPr="00F86720">
        <w:rPr>
          <w:rFonts w:ascii="Cambria" w:hAnsi="Cambria"/>
          <w:color w:val="auto"/>
        </w:rPr>
        <w:t xml:space="preserve">offset by an increase in trading volumes of </w:t>
      </w:r>
      <w:r w:rsidR="00F74171">
        <w:rPr>
          <w:rFonts w:ascii="Cambria" w:hAnsi="Cambria"/>
          <w:color w:val="auto"/>
        </w:rPr>
        <w:t xml:space="preserve">UK </w:t>
      </w:r>
      <w:r w:rsidRPr="00F86720">
        <w:rPr>
          <w:rFonts w:ascii="Cambria" w:hAnsi="Cambria"/>
          <w:color w:val="auto"/>
        </w:rPr>
        <w:t xml:space="preserve">issuers (340 million DRs). </w:t>
      </w:r>
    </w:p>
    <w:p w14:paraId="3356B7A5" w14:textId="77777777" w:rsidR="00537929" w:rsidRDefault="00537929" w:rsidP="00407A2A">
      <w:pPr>
        <w:rPr>
          <w:rFonts w:ascii="Cambria" w:hAnsi="Cambria"/>
          <w:b/>
        </w:rPr>
      </w:pPr>
    </w:p>
    <w:p w14:paraId="20CFF814" w14:textId="6AD194F2" w:rsidR="005A124F" w:rsidRPr="00537929" w:rsidRDefault="00F74171" w:rsidP="00407A2A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The </w:t>
      </w:r>
      <w:r w:rsidR="005A124F" w:rsidRPr="00537929">
        <w:rPr>
          <w:rFonts w:ascii="Cambria" w:hAnsi="Cambria"/>
          <w:b/>
        </w:rPr>
        <w:t>Top Ten Most Liquid Programs</w:t>
      </w:r>
    </w:p>
    <w:tbl>
      <w:tblPr>
        <w:tblStyle w:val="TableGrid"/>
        <w:tblW w:w="11196" w:type="dxa"/>
        <w:tblLayout w:type="fixed"/>
        <w:tblLook w:val="00A0" w:firstRow="1" w:lastRow="0" w:firstColumn="1" w:lastColumn="0" w:noHBand="0" w:noVBand="0"/>
      </w:tblPr>
      <w:tblGrid>
        <w:gridCol w:w="3996"/>
        <w:gridCol w:w="2250"/>
        <w:gridCol w:w="2160"/>
        <w:gridCol w:w="2790"/>
      </w:tblGrid>
      <w:tr w:rsidR="00F57F50" w14:paraId="2BBB538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top w:val="nil"/>
              <w:bottom w:val="single" w:sz="36" w:space="0" w:color="FFFFFF" w:themeColor="background1"/>
            </w:tcBorders>
            <w:shd w:val="clear" w:color="auto" w:fill="FF0000"/>
          </w:tcPr>
          <w:p w14:paraId="656CE783" w14:textId="77777777" w:rsidR="005A124F" w:rsidRPr="00DC4919" w:rsidRDefault="005A124F" w:rsidP="00407A2A">
            <w:pPr>
              <w:rPr>
                <w:rFonts w:ascii="Cambria" w:hAnsi="Cambria"/>
                <w:b/>
                <w:color w:val="000000" w:themeColor="text1"/>
              </w:rPr>
            </w:pPr>
            <w:r w:rsidRPr="00DC4919">
              <w:rPr>
                <w:rFonts w:ascii="Cambria" w:hAnsi="Cambria"/>
                <w:b/>
                <w:color w:val="000000" w:themeColor="text1"/>
              </w:rPr>
              <w:t xml:space="preserve">Issuer </w:t>
            </w:r>
          </w:p>
        </w:tc>
        <w:tc>
          <w:tcPr>
            <w:tcW w:w="2250" w:type="dxa"/>
            <w:tcBorders>
              <w:top w:val="nil"/>
              <w:bottom w:val="single" w:sz="36" w:space="0" w:color="FFFFFF" w:themeColor="background1"/>
            </w:tcBorders>
            <w:shd w:val="clear" w:color="auto" w:fill="FF0000"/>
          </w:tcPr>
          <w:p w14:paraId="1DFA7B09" w14:textId="77777777" w:rsidR="005A124F" w:rsidRPr="00DC4919" w:rsidRDefault="005A124F" w:rsidP="00407A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00000" w:themeColor="text1"/>
              </w:rPr>
            </w:pPr>
            <w:r w:rsidRPr="00DC4919">
              <w:rPr>
                <w:rFonts w:ascii="Cambria" w:hAnsi="Cambria"/>
                <w:b/>
                <w:color w:val="000000" w:themeColor="text1"/>
              </w:rPr>
              <w:t xml:space="preserve">Country </w:t>
            </w:r>
          </w:p>
        </w:tc>
        <w:tc>
          <w:tcPr>
            <w:tcW w:w="2160" w:type="dxa"/>
            <w:tcBorders>
              <w:top w:val="nil"/>
              <w:bottom w:val="single" w:sz="36" w:space="0" w:color="FFFFFF" w:themeColor="background1"/>
            </w:tcBorders>
            <w:shd w:val="clear" w:color="auto" w:fill="FF0000"/>
          </w:tcPr>
          <w:p w14:paraId="2D4ED812" w14:textId="77777777" w:rsidR="005A124F" w:rsidRPr="00DC4919" w:rsidRDefault="005A124F" w:rsidP="00407A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00000" w:themeColor="text1"/>
              </w:rPr>
            </w:pPr>
            <w:r w:rsidRPr="00DC4919">
              <w:rPr>
                <w:rFonts w:ascii="Cambria" w:hAnsi="Cambria"/>
                <w:b/>
                <w:color w:val="000000" w:themeColor="text1"/>
              </w:rPr>
              <w:t xml:space="preserve">Exchange </w:t>
            </w:r>
          </w:p>
        </w:tc>
        <w:tc>
          <w:tcPr>
            <w:tcW w:w="2790" w:type="dxa"/>
            <w:tcBorders>
              <w:top w:val="nil"/>
              <w:bottom w:val="single" w:sz="36" w:space="0" w:color="FFFFFF" w:themeColor="background1"/>
            </w:tcBorders>
            <w:shd w:val="clear" w:color="auto" w:fill="FF0000"/>
          </w:tcPr>
          <w:p w14:paraId="44C3EF2C" w14:textId="77777777" w:rsidR="005A124F" w:rsidRPr="003F4820" w:rsidRDefault="003F4820" w:rsidP="00DC4919">
            <w:pPr>
              <w:pStyle w:val="NormalWeb"/>
              <w:spacing w:before="2" w:after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00000" w:themeColor="text1"/>
              </w:rPr>
            </w:pPr>
            <w:r w:rsidRPr="003F4820">
              <w:rPr>
                <w:rFonts w:ascii="Cambria" w:hAnsi="Cambria"/>
                <w:b/>
                <w:color w:val="000000" w:themeColor="text1"/>
              </w:rPr>
              <w:t>YTD June 2013 Value (USD Billions)</w:t>
            </w:r>
          </w:p>
        </w:tc>
      </w:tr>
      <w:tr w:rsidR="005A124F" w14:paraId="28FADA02" w14:textId="77777777" w:rsidTr="00785C18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</w:tcPr>
          <w:p w14:paraId="4C7F8AFA" w14:textId="77777777" w:rsidR="005A124F" w:rsidRPr="00785C18" w:rsidRDefault="005A124F" w:rsidP="005D1B5B">
            <w:pPr>
              <w:spacing w:after="120"/>
              <w:rPr>
                <w:rFonts w:ascii="Cambria" w:hAnsi="Cambria"/>
                <w:color w:val="000000" w:themeColor="text1"/>
                <w:sz w:val="22"/>
              </w:rPr>
            </w:pPr>
            <w:r w:rsidRPr="00785C18">
              <w:rPr>
                <w:rFonts w:ascii="Cambria" w:hAnsi="Cambria"/>
                <w:color w:val="000000" w:themeColor="text1"/>
                <w:sz w:val="22"/>
              </w:rPr>
              <w:t xml:space="preserve">Vale SA </w:t>
            </w:r>
          </w:p>
        </w:tc>
        <w:tc>
          <w:tcPr>
            <w:tcW w:w="2250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</w:tcPr>
          <w:p w14:paraId="5403701C" w14:textId="77777777" w:rsidR="005A124F" w:rsidRPr="00785C18" w:rsidRDefault="005A124F" w:rsidP="005D1B5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</w:rPr>
            </w:pPr>
            <w:r w:rsidRPr="00785C18">
              <w:rPr>
                <w:rFonts w:ascii="Cambria" w:hAnsi="Cambria"/>
                <w:color w:val="000000" w:themeColor="text1"/>
                <w:sz w:val="22"/>
              </w:rPr>
              <w:t xml:space="preserve">Brazil </w:t>
            </w:r>
          </w:p>
        </w:tc>
        <w:tc>
          <w:tcPr>
            <w:tcW w:w="2160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</w:tcPr>
          <w:p w14:paraId="22F0D377" w14:textId="77777777" w:rsidR="005A124F" w:rsidRPr="00785C18" w:rsidRDefault="005A124F" w:rsidP="005D1B5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</w:rPr>
            </w:pPr>
            <w:r w:rsidRPr="00785C18">
              <w:rPr>
                <w:rFonts w:ascii="Cambria" w:hAnsi="Cambria"/>
                <w:color w:val="000000" w:themeColor="text1"/>
                <w:sz w:val="22"/>
              </w:rPr>
              <w:t xml:space="preserve">NYSE EuroNext </w:t>
            </w:r>
          </w:p>
        </w:tc>
        <w:tc>
          <w:tcPr>
            <w:tcW w:w="2790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</w:tcPr>
          <w:p w14:paraId="0BED4849" w14:textId="77777777" w:rsidR="005A124F" w:rsidRPr="00785C18" w:rsidRDefault="005A124F" w:rsidP="005D1B5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</w:rPr>
            </w:pPr>
            <w:r w:rsidRPr="00785C18">
              <w:rPr>
                <w:rFonts w:ascii="Cambria" w:hAnsi="Cambria"/>
                <w:color w:val="000000" w:themeColor="text1"/>
                <w:sz w:val="22"/>
              </w:rPr>
              <w:t>57</w:t>
            </w:r>
          </w:p>
        </w:tc>
      </w:tr>
      <w:tr w:rsidR="005A124F" w14:paraId="445EF395" w14:textId="77777777" w:rsidTr="00785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</w:tcPr>
          <w:p w14:paraId="3A8A4F20" w14:textId="77777777" w:rsidR="005A124F" w:rsidRPr="00785C18" w:rsidRDefault="00F03798" w:rsidP="00407A2A">
            <w:pPr>
              <w:rPr>
                <w:rFonts w:ascii="Cambria" w:hAnsi="Cambria"/>
                <w:color w:val="000000" w:themeColor="text1"/>
                <w:sz w:val="22"/>
              </w:rPr>
            </w:pPr>
            <w:r w:rsidRPr="00785C18">
              <w:rPr>
                <w:rFonts w:ascii="Cambria" w:hAnsi="Cambria"/>
                <w:color w:val="000000" w:themeColor="text1"/>
                <w:sz w:val="22"/>
              </w:rPr>
              <w:t>Petroleo Brasileiro SA (Petrobras)</w:t>
            </w:r>
          </w:p>
        </w:tc>
        <w:tc>
          <w:tcPr>
            <w:tcW w:w="2250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</w:tcPr>
          <w:p w14:paraId="670A54A4" w14:textId="77777777" w:rsidR="005A124F" w:rsidRPr="00785C18" w:rsidRDefault="00F03798" w:rsidP="00407A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</w:rPr>
            </w:pPr>
            <w:r w:rsidRPr="00785C18">
              <w:rPr>
                <w:rFonts w:ascii="Cambria" w:hAnsi="Cambria"/>
                <w:color w:val="000000" w:themeColor="text1"/>
                <w:sz w:val="22"/>
              </w:rPr>
              <w:t>Brazil</w:t>
            </w:r>
          </w:p>
        </w:tc>
        <w:tc>
          <w:tcPr>
            <w:tcW w:w="2160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</w:tcPr>
          <w:p w14:paraId="125E0580" w14:textId="77777777" w:rsidR="005A124F" w:rsidRPr="00785C18" w:rsidRDefault="00F03798" w:rsidP="00407A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</w:rPr>
            </w:pPr>
            <w:r w:rsidRPr="00785C18">
              <w:rPr>
                <w:rFonts w:ascii="Cambria" w:hAnsi="Cambria"/>
                <w:color w:val="000000" w:themeColor="text1"/>
                <w:sz w:val="22"/>
              </w:rPr>
              <w:t>NYSE Euronext</w:t>
            </w:r>
          </w:p>
        </w:tc>
        <w:tc>
          <w:tcPr>
            <w:tcW w:w="2790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</w:tcPr>
          <w:p w14:paraId="3C05C4E2" w14:textId="77777777" w:rsidR="005A124F" w:rsidRPr="00785C18" w:rsidRDefault="00F03798" w:rsidP="00407A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</w:rPr>
            </w:pPr>
            <w:r w:rsidRPr="00785C18">
              <w:rPr>
                <w:rFonts w:ascii="Cambria" w:hAnsi="Cambria"/>
                <w:color w:val="000000" w:themeColor="text1"/>
                <w:sz w:val="22"/>
              </w:rPr>
              <w:t>54</w:t>
            </w:r>
          </w:p>
        </w:tc>
      </w:tr>
      <w:tr w:rsidR="00F03798" w14:paraId="460E0793" w14:textId="77777777" w:rsidTr="00785C18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</w:tcPr>
          <w:p w14:paraId="09B38109" w14:textId="58079750" w:rsidR="00F03798" w:rsidRPr="00785C18" w:rsidRDefault="00100BA5" w:rsidP="00407A2A">
            <w:pPr>
              <w:rPr>
                <w:rFonts w:ascii="Cambria" w:hAnsi="Cambria"/>
                <w:color w:val="000000" w:themeColor="text1"/>
                <w:sz w:val="22"/>
              </w:rPr>
            </w:pPr>
            <w:r w:rsidRPr="00785C18">
              <w:rPr>
                <w:rFonts w:ascii="Cambria" w:hAnsi="Cambria"/>
                <w:color w:val="000000" w:themeColor="text1"/>
                <w:sz w:val="22"/>
              </w:rPr>
              <w:t>Baidu</w:t>
            </w:r>
            <w:r w:rsidR="006F328F">
              <w:rPr>
                <w:rFonts w:ascii="Cambria" w:hAnsi="Cambria"/>
                <w:color w:val="000000" w:themeColor="text1"/>
                <w:sz w:val="22"/>
              </w:rPr>
              <w:t>,</w:t>
            </w:r>
            <w:r w:rsidRPr="00785C18">
              <w:rPr>
                <w:rFonts w:ascii="Cambria" w:hAnsi="Cambria"/>
                <w:color w:val="000000" w:themeColor="text1"/>
                <w:sz w:val="22"/>
              </w:rPr>
              <w:t xml:space="preserve"> Inc</w:t>
            </w:r>
            <w:r w:rsidR="006F328F">
              <w:rPr>
                <w:rFonts w:ascii="Cambria" w:hAnsi="Cambria"/>
                <w:color w:val="000000" w:themeColor="text1"/>
                <w:sz w:val="22"/>
              </w:rPr>
              <w:t>.</w:t>
            </w:r>
          </w:p>
        </w:tc>
        <w:tc>
          <w:tcPr>
            <w:tcW w:w="2250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</w:tcPr>
          <w:p w14:paraId="4669EAF2" w14:textId="77777777" w:rsidR="00F03798" w:rsidRPr="00785C18" w:rsidRDefault="00100BA5" w:rsidP="00407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</w:rPr>
            </w:pPr>
            <w:r w:rsidRPr="00785C18">
              <w:rPr>
                <w:rFonts w:ascii="Cambria" w:hAnsi="Cambria"/>
                <w:color w:val="000000" w:themeColor="text1"/>
                <w:sz w:val="22"/>
              </w:rPr>
              <w:t>China</w:t>
            </w:r>
          </w:p>
        </w:tc>
        <w:tc>
          <w:tcPr>
            <w:tcW w:w="2160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</w:tcPr>
          <w:p w14:paraId="686713FD" w14:textId="77777777" w:rsidR="00F03798" w:rsidRPr="00785C18" w:rsidRDefault="00100BA5" w:rsidP="00407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</w:rPr>
            </w:pPr>
            <w:r w:rsidRPr="00785C18">
              <w:rPr>
                <w:rFonts w:ascii="Cambria" w:hAnsi="Cambria"/>
                <w:color w:val="000000" w:themeColor="text1"/>
                <w:sz w:val="22"/>
              </w:rPr>
              <w:t xml:space="preserve">NASDAQ </w:t>
            </w:r>
          </w:p>
        </w:tc>
        <w:tc>
          <w:tcPr>
            <w:tcW w:w="2790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</w:tcPr>
          <w:p w14:paraId="5576B517" w14:textId="77777777" w:rsidR="00F03798" w:rsidRPr="00785C18" w:rsidRDefault="00100BA5" w:rsidP="00407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</w:rPr>
            </w:pPr>
            <w:r w:rsidRPr="00785C18">
              <w:rPr>
                <w:rFonts w:ascii="Cambria" w:hAnsi="Cambria"/>
                <w:color w:val="000000" w:themeColor="text1"/>
                <w:sz w:val="22"/>
              </w:rPr>
              <w:t>50</w:t>
            </w:r>
          </w:p>
        </w:tc>
      </w:tr>
      <w:tr w:rsidR="00F03798" w14:paraId="7E154A4F" w14:textId="77777777" w:rsidTr="00785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</w:tcPr>
          <w:p w14:paraId="2345728A" w14:textId="77777777" w:rsidR="00F03798" w:rsidRPr="00785C18" w:rsidRDefault="00E016DB" w:rsidP="00407A2A">
            <w:pPr>
              <w:rPr>
                <w:rFonts w:ascii="Cambria" w:hAnsi="Cambria"/>
                <w:color w:val="000000" w:themeColor="text1"/>
                <w:sz w:val="22"/>
              </w:rPr>
            </w:pPr>
            <w:r w:rsidRPr="00785C18">
              <w:rPr>
                <w:rFonts w:ascii="Cambria" w:hAnsi="Cambria"/>
                <w:color w:val="000000" w:themeColor="text1"/>
                <w:sz w:val="22"/>
              </w:rPr>
              <w:t>Vodafone Group PLC</w:t>
            </w:r>
          </w:p>
        </w:tc>
        <w:tc>
          <w:tcPr>
            <w:tcW w:w="2250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</w:tcPr>
          <w:p w14:paraId="3A47CD55" w14:textId="77777777" w:rsidR="00F03798" w:rsidRPr="00785C18" w:rsidRDefault="00E016DB" w:rsidP="00407A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</w:rPr>
            </w:pPr>
            <w:r w:rsidRPr="00785C18">
              <w:rPr>
                <w:rFonts w:ascii="Cambria" w:hAnsi="Cambria"/>
                <w:color w:val="000000" w:themeColor="text1"/>
                <w:sz w:val="22"/>
              </w:rPr>
              <w:t xml:space="preserve">UK </w:t>
            </w:r>
          </w:p>
        </w:tc>
        <w:tc>
          <w:tcPr>
            <w:tcW w:w="2160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</w:tcPr>
          <w:p w14:paraId="6F9D0E5E" w14:textId="77777777" w:rsidR="00F03798" w:rsidRPr="00785C18" w:rsidRDefault="00E016DB" w:rsidP="00407A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</w:rPr>
            </w:pPr>
            <w:r w:rsidRPr="00785C18">
              <w:rPr>
                <w:rFonts w:ascii="Cambria" w:hAnsi="Cambria"/>
                <w:color w:val="000000" w:themeColor="text1"/>
                <w:sz w:val="22"/>
              </w:rPr>
              <w:t xml:space="preserve">NASDAQ </w:t>
            </w:r>
          </w:p>
        </w:tc>
        <w:tc>
          <w:tcPr>
            <w:tcW w:w="2790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</w:tcPr>
          <w:p w14:paraId="773D19D7" w14:textId="77777777" w:rsidR="00F03798" w:rsidRPr="00785C18" w:rsidRDefault="00E016DB" w:rsidP="00407A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</w:rPr>
            </w:pPr>
            <w:r w:rsidRPr="00785C18">
              <w:rPr>
                <w:rFonts w:ascii="Cambria" w:hAnsi="Cambria"/>
                <w:color w:val="000000" w:themeColor="text1"/>
                <w:sz w:val="22"/>
              </w:rPr>
              <w:t>40</w:t>
            </w:r>
          </w:p>
        </w:tc>
      </w:tr>
      <w:tr w:rsidR="00E016DB" w14:paraId="107F3E75" w14:textId="77777777" w:rsidTr="00785C18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top w:val="single" w:sz="36" w:space="0" w:color="FFFFFF" w:themeColor="background1"/>
            </w:tcBorders>
          </w:tcPr>
          <w:p w14:paraId="11D0A69F" w14:textId="77777777" w:rsidR="00E016DB" w:rsidRPr="00785C18" w:rsidRDefault="00E016DB" w:rsidP="00407A2A">
            <w:pPr>
              <w:rPr>
                <w:rFonts w:ascii="Cambria" w:hAnsi="Cambria"/>
                <w:color w:val="000000" w:themeColor="text1"/>
                <w:sz w:val="22"/>
              </w:rPr>
            </w:pPr>
            <w:r w:rsidRPr="00785C18">
              <w:rPr>
                <w:rFonts w:ascii="Cambria" w:hAnsi="Cambria"/>
                <w:color w:val="000000" w:themeColor="text1"/>
                <w:sz w:val="22"/>
              </w:rPr>
              <w:t>BP PLC</w:t>
            </w:r>
          </w:p>
        </w:tc>
        <w:tc>
          <w:tcPr>
            <w:tcW w:w="2250" w:type="dxa"/>
            <w:tcBorders>
              <w:top w:val="single" w:sz="36" w:space="0" w:color="FFFFFF" w:themeColor="background1"/>
            </w:tcBorders>
          </w:tcPr>
          <w:p w14:paraId="0C94E739" w14:textId="77777777" w:rsidR="00E016DB" w:rsidRPr="00785C18" w:rsidRDefault="00E016DB" w:rsidP="00407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</w:rPr>
            </w:pPr>
            <w:r w:rsidRPr="00785C18">
              <w:rPr>
                <w:rFonts w:ascii="Cambria" w:hAnsi="Cambria"/>
                <w:color w:val="000000" w:themeColor="text1"/>
                <w:sz w:val="22"/>
              </w:rPr>
              <w:t xml:space="preserve">UK </w:t>
            </w:r>
          </w:p>
        </w:tc>
        <w:tc>
          <w:tcPr>
            <w:tcW w:w="2160" w:type="dxa"/>
            <w:tcBorders>
              <w:top w:val="single" w:sz="36" w:space="0" w:color="FFFFFF" w:themeColor="background1"/>
            </w:tcBorders>
          </w:tcPr>
          <w:p w14:paraId="477737CB" w14:textId="77777777" w:rsidR="00E016DB" w:rsidRPr="00785C18" w:rsidRDefault="00E016DB" w:rsidP="00407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</w:rPr>
            </w:pPr>
            <w:r w:rsidRPr="00785C18">
              <w:rPr>
                <w:rFonts w:ascii="Cambria" w:hAnsi="Cambria"/>
                <w:color w:val="000000" w:themeColor="text1"/>
                <w:sz w:val="22"/>
              </w:rPr>
              <w:t>NYSE Euronext</w:t>
            </w:r>
          </w:p>
        </w:tc>
        <w:tc>
          <w:tcPr>
            <w:tcW w:w="2790" w:type="dxa"/>
            <w:tcBorders>
              <w:top w:val="single" w:sz="36" w:space="0" w:color="FFFFFF" w:themeColor="background1"/>
            </w:tcBorders>
          </w:tcPr>
          <w:p w14:paraId="43A44887" w14:textId="77777777" w:rsidR="00E016DB" w:rsidRPr="00785C18" w:rsidRDefault="00E016DB" w:rsidP="00407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</w:rPr>
            </w:pPr>
            <w:r w:rsidRPr="00785C18">
              <w:rPr>
                <w:rFonts w:ascii="Cambria" w:hAnsi="Cambria"/>
                <w:color w:val="000000" w:themeColor="text1"/>
                <w:sz w:val="22"/>
              </w:rPr>
              <w:t>33</w:t>
            </w:r>
          </w:p>
        </w:tc>
      </w:tr>
      <w:tr w:rsidR="00E016DB" w14:paraId="24699B0D" w14:textId="77777777" w:rsidTr="00785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7C8BD90E" w14:textId="77777777" w:rsidR="00E016DB" w:rsidRPr="00785C18" w:rsidRDefault="00E016DB" w:rsidP="00407A2A">
            <w:pPr>
              <w:rPr>
                <w:rFonts w:ascii="Cambria" w:hAnsi="Cambria"/>
                <w:color w:val="000000" w:themeColor="text1"/>
                <w:sz w:val="22"/>
              </w:rPr>
            </w:pPr>
            <w:r w:rsidRPr="00785C18">
              <w:rPr>
                <w:rFonts w:ascii="Cambria" w:hAnsi="Cambria"/>
                <w:color w:val="000000" w:themeColor="text1"/>
                <w:sz w:val="22"/>
              </w:rPr>
              <w:t>Royal Dutch Shell PLC</w:t>
            </w:r>
          </w:p>
        </w:tc>
        <w:tc>
          <w:tcPr>
            <w:tcW w:w="2250" w:type="dxa"/>
          </w:tcPr>
          <w:p w14:paraId="1C12E407" w14:textId="77777777" w:rsidR="00E016DB" w:rsidRPr="00785C18" w:rsidRDefault="00E016DB" w:rsidP="00407A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</w:rPr>
            </w:pPr>
            <w:r w:rsidRPr="00785C18">
              <w:rPr>
                <w:rFonts w:ascii="Cambria" w:hAnsi="Cambria"/>
                <w:color w:val="000000" w:themeColor="text1"/>
                <w:sz w:val="22"/>
              </w:rPr>
              <w:t>Netherlands</w:t>
            </w:r>
          </w:p>
        </w:tc>
        <w:tc>
          <w:tcPr>
            <w:tcW w:w="2160" w:type="dxa"/>
          </w:tcPr>
          <w:p w14:paraId="1BC2906D" w14:textId="77777777" w:rsidR="00E016DB" w:rsidRPr="00785C18" w:rsidRDefault="00E016DB" w:rsidP="00407A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</w:rPr>
            </w:pPr>
            <w:r w:rsidRPr="00785C18">
              <w:rPr>
                <w:rFonts w:ascii="Cambria" w:hAnsi="Cambria"/>
                <w:color w:val="000000" w:themeColor="text1"/>
                <w:sz w:val="22"/>
              </w:rPr>
              <w:t>NYSE Euronext</w:t>
            </w:r>
          </w:p>
        </w:tc>
        <w:tc>
          <w:tcPr>
            <w:tcW w:w="2790" w:type="dxa"/>
          </w:tcPr>
          <w:p w14:paraId="122B5BB3" w14:textId="77777777" w:rsidR="00E016DB" w:rsidRPr="00785C18" w:rsidRDefault="00E016DB" w:rsidP="00407A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</w:rPr>
            </w:pPr>
            <w:r w:rsidRPr="00785C18">
              <w:rPr>
                <w:rFonts w:ascii="Cambria" w:hAnsi="Cambria"/>
                <w:color w:val="000000" w:themeColor="text1"/>
                <w:sz w:val="22"/>
              </w:rPr>
              <w:t>32</w:t>
            </w:r>
          </w:p>
        </w:tc>
      </w:tr>
      <w:tr w:rsidR="00E016DB" w14:paraId="6C95E8CD" w14:textId="77777777" w:rsidTr="00785C18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026DFDF8" w14:textId="77777777" w:rsidR="00E016DB" w:rsidRPr="00785C18" w:rsidRDefault="00E016DB" w:rsidP="00407A2A">
            <w:pPr>
              <w:rPr>
                <w:rFonts w:ascii="Cambria" w:hAnsi="Cambria"/>
                <w:color w:val="000000" w:themeColor="text1"/>
                <w:sz w:val="22"/>
              </w:rPr>
            </w:pPr>
            <w:r w:rsidRPr="00785C18">
              <w:rPr>
                <w:rFonts w:ascii="Cambria" w:hAnsi="Cambria"/>
                <w:color w:val="000000" w:themeColor="text1"/>
                <w:sz w:val="22"/>
              </w:rPr>
              <w:lastRenderedPageBreak/>
              <w:t>Sberbank of Russia</w:t>
            </w:r>
          </w:p>
        </w:tc>
        <w:tc>
          <w:tcPr>
            <w:tcW w:w="2250" w:type="dxa"/>
          </w:tcPr>
          <w:p w14:paraId="50B4C811" w14:textId="77777777" w:rsidR="00E016DB" w:rsidRPr="00785C18" w:rsidRDefault="00E016DB" w:rsidP="00407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</w:rPr>
            </w:pPr>
            <w:r w:rsidRPr="00785C18">
              <w:rPr>
                <w:rFonts w:ascii="Cambria" w:hAnsi="Cambria"/>
                <w:color w:val="000000" w:themeColor="text1"/>
                <w:sz w:val="22"/>
              </w:rPr>
              <w:t>Russia</w:t>
            </w:r>
          </w:p>
        </w:tc>
        <w:tc>
          <w:tcPr>
            <w:tcW w:w="2160" w:type="dxa"/>
          </w:tcPr>
          <w:p w14:paraId="426C1E20" w14:textId="77777777" w:rsidR="00E016DB" w:rsidRPr="00785C18" w:rsidRDefault="00E016DB" w:rsidP="00407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</w:rPr>
            </w:pPr>
            <w:r w:rsidRPr="00785C18">
              <w:rPr>
                <w:rFonts w:ascii="Cambria" w:hAnsi="Cambria"/>
                <w:color w:val="000000" w:themeColor="text1"/>
                <w:sz w:val="22"/>
              </w:rPr>
              <w:t xml:space="preserve">LSE </w:t>
            </w:r>
          </w:p>
        </w:tc>
        <w:tc>
          <w:tcPr>
            <w:tcW w:w="2790" w:type="dxa"/>
          </w:tcPr>
          <w:p w14:paraId="48CC9C53" w14:textId="77777777" w:rsidR="00E016DB" w:rsidRPr="00785C18" w:rsidRDefault="00E016DB" w:rsidP="00407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</w:rPr>
            </w:pPr>
            <w:r w:rsidRPr="00785C18">
              <w:rPr>
                <w:rFonts w:ascii="Cambria" w:hAnsi="Cambria"/>
                <w:color w:val="000000" w:themeColor="text1"/>
                <w:sz w:val="22"/>
              </w:rPr>
              <w:t>29</w:t>
            </w:r>
          </w:p>
        </w:tc>
      </w:tr>
      <w:tr w:rsidR="00E016DB" w14:paraId="75CB99C4" w14:textId="77777777" w:rsidTr="00C5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4E10F9B5" w14:textId="77777777" w:rsidR="00E016DB" w:rsidRPr="00C543CD" w:rsidRDefault="00E016DB" w:rsidP="00407A2A">
            <w:pPr>
              <w:rPr>
                <w:rFonts w:ascii="Cambria" w:hAnsi="Cambria"/>
                <w:color w:val="000000" w:themeColor="text1"/>
                <w:sz w:val="22"/>
              </w:rPr>
            </w:pPr>
            <w:r w:rsidRPr="00C543CD">
              <w:rPr>
                <w:rFonts w:ascii="Cambria" w:hAnsi="Cambria"/>
                <w:color w:val="000000" w:themeColor="text1"/>
                <w:sz w:val="22"/>
              </w:rPr>
              <w:t>Gazprom OAO</w:t>
            </w:r>
          </w:p>
        </w:tc>
        <w:tc>
          <w:tcPr>
            <w:tcW w:w="2250" w:type="dxa"/>
          </w:tcPr>
          <w:p w14:paraId="7C486AB1" w14:textId="77777777" w:rsidR="00E016DB" w:rsidRPr="00C543CD" w:rsidRDefault="00E016DB" w:rsidP="00407A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</w:rPr>
            </w:pPr>
            <w:r w:rsidRPr="00C543CD">
              <w:rPr>
                <w:rFonts w:ascii="Cambria" w:hAnsi="Cambria"/>
                <w:color w:val="000000" w:themeColor="text1"/>
                <w:sz w:val="22"/>
              </w:rPr>
              <w:t>Russia</w:t>
            </w:r>
          </w:p>
        </w:tc>
        <w:tc>
          <w:tcPr>
            <w:tcW w:w="2160" w:type="dxa"/>
          </w:tcPr>
          <w:p w14:paraId="0132159F" w14:textId="77777777" w:rsidR="00E016DB" w:rsidRPr="00C543CD" w:rsidRDefault="00E016DB" w:rsidP="00407A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</w:rPr>
            </w:pPr>
            <w:r w:rsidRPr="00C543CD">
              <w:rPr>
                <w:rFonts w:ascii="Cambria" w:hAnsi="Cambria"/>
                <w:color w:val="000000" w:themeColor="text1"/>
                <w:sz w:val="22"/>
              </w:rPr>
              <w:t xml:space="preserve">LSE </w:t>
            </w:r>
          </w:p>
        </w:tc>
        <w:tc>
          <w:tcPr>
            <w:tcW w:w="2790" w:type="dxa"/>
          </w:tcPr>
          <w:p w14:paraId="7974180D" w14:textId="77777777" w:rsidR="00E016DB" w:rsidRPr="00C543CD" w:rsidRDefault="00E016DB" w:rsidP="00407A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</w:rPr>
            </w:pPr>
            <w:r w:rsidRPr="00C543CD">
              <w:rPr>
                <w:rFonts w:ascii="Cambria" w:hAnsi="Cambria"/>
                <w:color w:val="000000" w:themeColor="text1"/>
                <w:sz w:val="22"/>
              </w:rPr>
              <w:t>29</w:t>
            </w:r>
          </w:p>
        </w:tc>
      </w:tr>
      <w:tr w:rsidR="00E016DB" w14:paraId="131943DF" w14:textId="77777777" w:rsidTr="00C543CD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1ED6E0ED" w14:textId="77777777" w:rsidR="00E016DB" w:rsidRPr="00C543CD" w:rsidRDefault="00E016DB" w:rsidP="00407A2A">
            <w:pPr>
              <w:rPr>
                <w:rFonts w:ascii="Cambria" w:hAnsi="Cambria"/>
                <w:color w:val="000000" w:themeColor="text1"/>
                <w:sz w:val="22"/>
              </w:rPr>
            </w:pPr>
            <w:r w:rsidRPr="00C543CD">
              <w:rPr>
                <w:rFonts w:ascii="Cambria" w:hAnsi="Cambria"/>
                <w:color w:val="000000" w:themeColor="text1"/>
                <w:sz w:val="22"/>
              </w:rPr>
              <w:t>Taiwan Semiconductor Manufacturing Co Ltd</w:t>
            </w:r>
          </w:p>
        </w:tc>
        <w:tc>
          <w:tcPr>
            <w:tcW w:w="2250" w:type="dxa"/>
          </w:tcPr>
          <w:p w14:paraId="347FAD27" w14:textId="77777777" w:rsidR="00E016DB" w:rsidRPr="00C543CD" w:rsidRDefault="00E016DB" w:rsidP="00407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</w:rPr>
            </w:pPr>
            <w:r w:rsidRPr="00C543CD">
              <w:rPr>
                <w:rFonts w:ascii="Cambria" w:hAnsi="Cambria"/>
                <w:color w:val="000000" w:themeColor="text1"/>
                <w:sz w:val="22"/>
              </w:rPr>
              <w:t>Taiwan</w:t>
            </w:r>
          </w:p>
        </w:tc>
        <w:tc>
          <w:tcPr>
            <w:tcW w:w="2160" w:type="dxa"/>
          </w:tcPr>
          <w:p w14:paraId="21228ED5" w14:textId="77777777" w:rsidR="00E016DB" w:rsidRPr="00C543CD" w:rsidRDefault="00E016DB" w:rsidP="00407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</w:rPr>
            </w:pPr>
            <w:r w:rsidRPr="00C543CD">
              <w:rPr>
                <w:rFonts w:ascii="Cambria" w:hAnsi="Cambria"/>
                <w:color w:val="000000" w:themeColor="text1"/>
                <w:sz w:val="22"/>
              </w:rPr>
              <w:t>NYSE Euronext</w:t>
            </w:r>
          </w:p>
        </w:tc>
        <w:tc>
          <w:tcPr>
            <w:tcW w:w="2790" w:type="dxa"/>
          </w:tcPr>
          <w:p w14:paraId="45CE36CE" w14:textId="77777777" w:rsidR="00E016DB" w:rsidRPr="00C543CD" w:rsidRDefault="00E016DB" w:rsidP="00407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</w:rPr>
            </w:pPr>
            <w:r w:rsidRPr="00C543CD">
              <w:rPr>
                <w:rFonts w:ascii="Cambria" w:hAnsi="Cambria"/>
                <w:color w:val="000000" w:themeColor="text1"/>
                <w:sz w:val="22"/>
              </w:rPr>
              <w:t>23</w:t>
            </w:r>
          </w:p>
        </w:tc>
      </w:tr>
      <w:tr w:rsidR="00E016DB" w14:paraId="01CD8586" w14:textId="77777777" w:rsidTr="00C5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4B4D7CFB" w14:textId="77777777" w:rsidR="00E016DB" w:rsidRPr="00C543CD" w:rsidRDefault="00E016DB" w:rsidP="00407A2A">
            <w:pPr>
              <w:rPr>
                <w:rFonts w:ascii="Cambria" w:hAnsi="Cambria"/>
                <w:color w:val="000000" w:themeColor="text1"/>
                <w:sz w:val="22"/>
              </w:rPr>
            </w:pPr>
            <w:r w:rsidRPr="00C543CD">
              <w:rPr>
                <w:rFonts w:ascii="Cambria" w:hAnsi="Cambria"/>
                <w:color w:val="000000" w:themeColor="text1"/>
                <w:sz w:val="22"/>
              </w:rPr>
              <w:t>America Movil S</w:t>
            </w:r>
            <w:r w:rsidRPr="00C543CD">
              <w:rPr>
                <w:rFonts w:ascii="Cambria" w:hAnsi="Cambria" w:cs="Menlo Regular"/>
                <w:color w:val="000000" w:themeColor="text1"/>
                <w:sz w:val="22"/>
              </w:rPr>
              <w:t>.A.B.</w:t>
            </w:r>
          </w:p>
        </w:tc>
        <w:tc>
          <w:tcPr>
            <w:tcW w:w="2250" w:type="dxa"/>
          </w:tcPr>
          <w:p w14:paraId="76C08125" w14:textId="77777777" w:rsidR="00E016DB" w:rsidRPr="00C543CD" w:rsidRDefault="00E016DB" w:rsidP="00407A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</w:rPr>
            </w:pPr>
            <w:r w:rsidRPr="00C543CD">
              <w:rPr>
                <w:rFonts w:ascii="Cambria" w:hAnsi="Cambria"/>
                <w:color w:val="000000" w:themeColor="text1"/>
                <w:sz w:val="22"/>
              </w:rPr>
              <w:t xml:space="preserve">Mexico </w:t>
            </w:r>
          </w:p>
        </w:tc>
        <w:tc>
          <w:tcPr>
            <w:tcW w:w="2160" w:type="dxa"/>
          </w:tcPr>
          <w:p w14:paraId="52277215" w14:textId="77777777" w:rsidR="00E016DB" w:rsidRPr="00C543CD" w:rsidRDefault="00E016DB" w:rsidP="00407A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</w:rPr>
            </w:pPr>
            <w:r w:rsidRPr="00C543CD">
              <w:rPr>
                <w:rFonts w:ascii="Cambria" w:hAnsi="Cambria"/>
                <w:color w:val="000000" w:themeColor="text1"/>
                <w:sz w:val="22"/>
              </w:rPr>
              <w:t>NYSE Euronext</w:t>
            </w:r>
          </w:p>
        </w:tc>
        <w:tc>
          <w:tcPr>
            <w:tcW w:w="2790" w:type="dxa"/>
          </w:tcPr>
          <w:p w14:paraId="4E508364" w14:textId="77777777" w:rsidR="00E016DB" w:rsidRPr="00C543CD" w:rsidRDefault="00E016DB" w:rsidP="00407A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</w:rPr>
            </w:pPr>
            <w:r w:rsidRPr="00C543CD">
              <w:rPr>
                <w:rFonts w:ascii="Cambria" w:hAnsi="Cambria"/>
                <w:color w:val="000000" w:themeColor="text1"/>
                <w:sz w:val="22"/>
              </w:rPr>
              <w:t>23</w:t>
            </w:r>
          </w:p>
        </w:tc>
      </w:tr>
    </w:tbl>
    <w:p w14:paraId="44881243" w14:textId="77777777" w:rsidR="00C41978" w:rsidRPr="00E016DB" w:rsidRDefault="00E016DB" w:rsidP="00407A2A">
      <w:pPr>
        <w:rPr>
          <w:rFonts w:ascii="Cambria" w:hAnsi="Cambria"/>
          <w:color w:val="000000" w:themeColor="text1"/>
          <w:sz w:val="22"/>
        </w:rPr>
      </w:pPr>
      <w:r w:rsidRPr="00E016DB">
        <w:rPr>
          <w:rFonts w:ascii="Cambria" w:hAnsi="Cambria"/>
          <w:color w:val="000000" w:themeColor="text1"/>
          <w:sz w:val="22"/>
        </w:rPr>
        <w:t>Source: Bloomberg Financial Markets and Depositary Data Interchange</w:t>
      </w:r>
    </w:p>
    <w:p w14:paraId="3331711B" w14:textId="77777777" w:rsidR="00993E2C" w:rsidRDefault="00993E2C" w:rsidP="00407A2A"/>
    <w:p w14:paraId="0ACCDE58" w14:textId="77777777" w:rsidR="0048581B" w:rsidRDefault="00993E2C" w:rsidP="00407A2A">
      <w:pPr>
        <w:rPr>
          <w:rFonts w:ascii="Times New Roman" w:hAnsi="Times New Roman"/>
          <w:lang w:val="ru-RU"/>
        </w:rPr>
      </w:pPr>
      <w:r>
        <w:rPr>
          <w:noProof/>
        </w:rPr>
        <w:drawing>
          <wp:inline distT="0" distB="0" distL="0" distR="0" wp14:anchorId="662AA887" wp14:editId="0D902E7E">
            <wp:extent cx="3746500" cy="2628900"/>
            <wp:effectExtent l="25400" t="0" r="0" b="0"/>
            <wp:docPr id="2" name="Picture 1" descr="Screen Shot 2013-09-28 at 8.54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28 at 8.54.2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8896" cy="263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A9F05" w14:textId="77777777" w:rsidR="0048581B" w:rsidRDefault="0048581B" w:rsidP="00407A2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I will add more graphs. </w:t>
      </w:r>
    </w:p>
    <w:p w14:paraId="2B3386D7" w14:textId="77777777" w:rsidR="008833D1" w:rsidRPr="00563E76" w:rsidRDefault="008833D1" w:rsidP="00407A2A">
      <w:pPr>
        <w:rPr>
          <w:rFonts w:ascii="Times New Roman" w:hAnsi="Times New Roman"/>
          <w:lang w:val="ru-RU"/>
        </w:rPr>
      </w:pPr>
    </w:p>
    <w:p w14:paraId="72C8C20A" w14:textId="705B0C17" w:rsidR="008833D1" w:rsidRPr="006D2E38" w:rsidRDefault="008833D1" w:rsidP="008833D1">
      <w:pPr>
        <w:rPr>
          <w:rFonts w:ascii="Cambria" w:hAnsi="Cambria"/>
          <w:color w:val="000000" w:themeColor="text1"/>
          <w:sz w:val="36"/>
        </w:rPr>
      </w:pPr>
      <w:r w:rsidRPr="006D2E38">
        <w:rPr>
          <w:rFonts w:ascii="Cambria" w:hAnsi="Cambria"/>
          <w:color w:val="000000" w:themeColor="text1"/>
          <w:sz w:val="36"/>
        </w:rPr>
        <w:t xml:space="preserve">Main </w:t>
      </w:r>
      <w:r w:rsidR="003B53F6">
        <w:rPr>
          <w:rFonts w:ascii="Cambria" w:hAnsi="Cambria"/>
          <w:color w:val="000000" w:themeColor="text1"/>
          <w:sz w:val="36"/>
        </w:rPr>
        <w:t>B</w:t>
      </w:r>
      <w:r w:rsidRPr="006D2E38">
        <w:rPr>
          <w:rFonts w:ascii="Cambria" w:hAnsi="Cambria"/>
          <w:color w:val="000000" w:themeColor="text1"/>
          <w:sz w:val="36"/>
        </w:rPr>
        <w:t xml:space="preserve">enefits of Holding DRs </w:t>
      </w:r>
      <w:r w:rsidR="003B53F6">
        <w:rPr>
          <w:rFonts w:ascii="Cambria" w:hAnsi="Cambria"/>
          <w:color w:val="000000" w:themeColor="text1"/>
          <w:sz w:val="36"/>
        </w:rPr>
        <w:t>Versus</w:t>
      </w:r>
      <w:r w:rsidR="003B53F6" w:rsidRPr="006D2E38">
        <w:rPr>
          <w:rFonts w:ascii="Cambria" w:hAnsi="Cambria"/>
          <w:color w:val="000000" w:themeColor="text1"/>
          <w:sz w:val="36"/>
        </w:rPr>
        <w:t xml:space="preserve"> </w:t>
      </w:r>
      <w:r w:rsidRPr="006D2E38">
        <w:rPr>
          <w:rFonts w:ascii="Cambria" w:hAnsi="Cambria"/>
          <w:color w:val="000000" w:themeColor="text1"/>
          <w:sz w:val="36"/>
        </w:rPr>
        <w:t xml:space="preserve">Ordinary </w:t>
      </w:r>
      <w:r w:rsidR="00E67858">
        <w:rPr>
          <w:rFonts w:ascii="Cambria" w:hAnsi="Cambria"/>
          <w:color w:val="000000" w:themeColor="text1"/>
          <w:sz w:val="36"/>
        </w:rPr>
        <w:t>S</w:t>
      </w:r>
      <w:r w:rsidRPr="006D2E38">
        <w:rPr>
          <w:rFonts w:ascii="Cambria" w:hAnsi="Cambria"/>
          <w:color w:val="000000" w:themeColor="text1"/>
          <w:sz w:val="36"/>
        </w:rPr>
        <w:t xml:space="preserve">hares </w:t>
      </w:r>
    </w:p>
    <w:p w14:paraId="1AC8F4F8" w14:textId="00A29212" w:rsidR="008833D1" w:rsidRPr="006D2E38" w:rsidRDefault="008833D1" w:rsidP="00A3777B">
      <w:pPr>
        <w:jc w:val="both"/>
        <w:rPr>
          <w:rFonts w:ascii="Cambria" w:hAnsi="Cambria"/>
          <w:color w:val="000000" w:themeColor="text1"/>
        </w:rPr>
      </w:pPr>
      <w:r w:rsidRPr="006D2E38">
        <w:rPr>
          <w:rFonts w:ascii="Cambria" w:hAnsi="Cambria"/>
          <w:color w:val="000000" w:themeColor="text1"/>
        </w:rPr>
        <w:t xml:space="preserve">Most </w:t>
      </w:r>
      <w:r w:rsidR="003B53F6">
        <w:rPr>
          <w:rFonts w:ascii="Cambria" w:hAnsi="Cambria"/>
          <w:color w:val="000000" w:themeColor="text1"/>
        </w:rPr>
        <w:t>i</w:t>
      </w:r>
      <w:r w:rsidRPr="006D2E38">
        <w:rPr>
          <w:rFonts w:ascii="Cambria" w:hAnsi="Cambria"/>
          <w:color w:val="000000" w:themeColor="text1"/>
        </w:rPr>
        <w:t xml:space="preserve">nstitutional investors have </w:t>
      </w:r>
      <w:r w:rsidR="003B53F6">
        <w:rPr>
          <w:rFonts w:ascii="Cambria" w:hAnsi="Cambria"/>
          <w:color w:val="000000" w:themeColor="text1"/>
        </w:rPr>
        <w:t>the</w:t>
      </w:r>
      <w:r w:rsidR="003B53F6" w:rsidRPr="006D2E38">
        <w:rPr>
          <w:rFonts w:ascii="Cambria" w:hAnsi="Cambria"/>
          <w:color w:val="000000" w:themeColor="text1"/>
        </w:rPr>
        <w:t xml:space="preserve"> </w:t>
      </w:r>
      <w:r w:rsidRPr="006D2E38">
        <w:rPr>
          <w:rFonts w:ascii="Cambria" w:hAnsi="Cambria"/>
          <w:color w:val="000000" w:themeColor="text1"/>
        </w:rPr>
        <w:t xml:space="preserve">option of holding either DRs or underlying shares at any particular point in time. </w:t>
      </w:r>
      <w:r w:rsidR="003B53F6">
        <w:rPr>
          <w:rFonts w:ascii="Cambria" w:hAnsi="Cambria"/>
          <w:color w:val="000000" w:themeColor="text1"/>
        </w:rPr>
        <w:t xml:space="preserve"> </w:t>
      </w:r>
      <w:r w:rsidRPr="006D2E38">
        <w:rPr>
          <w:rFonts w:ascii="Cambria" w:hAnsi="Cambria"/>
          <w:color w:val="000000" w:themeColor="text1"/>
        </w:rPr>
        <w:t>While they may have the mechanism to buy</w:t>
      </w:r>
      <w:r w:rsidR="005402E6">
        <w:rPr>
          <w:rFonts w:ascii="Cambria" w:hAnsi="Cambria"/>
          <w:color w:val="000000" w:themeColor="text1"/>
        </w:rPr>
        <w:t xml:space="preserve"> the</w:t>
      </w:r>
      <w:r w:rsidRPr="006D2E38">
        <w:rPr>
          <w:rFonts w:ascii="Cambria" w:hAnsi="Cambria"/>
          <w:color w:val="000000" w:themeColor="text1"/>
        </w:rPr>
        <w:t xml:space="preserve"> ordinary shares of Russian</w:t>
      </w:r>
      <w:r w:rsidR="005402E6">
        <w:rPr>
          <w:rFonts w:ascii="Cambria" w:hAnsi="Cambria"/>
          <w:color w:val="000000" w:themeColor="text1"/>
        </w:rPr>
        <w:t xml:space="preserve"> companies</w:t>
      </w:r>
      <w:r w:rsidRPr="006D2E38">
        <w:rPr>
          <w:rFonts w:ascii="Cambria" w:hAnsi="Cambria"/>
          <w:color w:val="000000" w:themeColor="text1"/>
        </w:rPr>
        <w:t xml:space="preserve"> and hold their positions </w:t>
      </w:r>
      <w:r w:rsidR="003B53F6">
        <w:rPr>
          <w:rFonts w:ascii="Cambria" w:hAnsi="Cambria"/>
          <w:color w:val="000000" w:themeColor="text1"/>
        </w:rPr>
        <w:t>with</w:t>
      </w:r>
      <w:r w:rsidR="003B53F6" w:rsidRPr="006D2E38">
        <w:rPr>
          <w:rFonts w:ascii="Cambria" w:hAnsi="Cambria"/>
          <w:color w:val="000000" w:themeColor="text1"/>
        </w:rPr>
        <w:t xml:space="preserve"> </w:t>
      </w:r>
      <w:r w:rsidRPr="006D2E38">
        <w:rPr>
          <w:rFonts w:ascii="Cambria" w:hAnsi="Cambria"/>
          <w:color w:val="000000" w:themeColor="text1"/>
        </w:rPr>
        <w:t xml:space="preserve">local custodians, there are several complex </w:t>
      </w:r>
      <w:r w:rsidR="005402E6" w:rsidRPr="006D2E38">
        <w:rPr>
          <w:rFonts w:ascii="Cambria" w:hAnsi="Cambria"/>
          <w:color w:val="000000" w:themeColor="text1"/>
        </w:rPr>
        <w:t>factors in</w:t>
      </w:r>
      <w:r w:rsidRPr="006D2E38">
        <w:rPr>
          <w:rFonts w:ascii="Cambria" w:hAnsi="Cambria"/>
          <w:color w:val="000000" w:themeColor="text1"/>
        </w:rPr>
        <w:t xml:space="preserve"> place </w:t>
      </w:r>
      <w:r w:rsidR="003B53F6">
        <w:rPr>
          <w:rFonts w:ascii="Cambria" w:hAnsi="Cambria"/>
          <w:color w:val="000000" w:themeColor="text1"/>
        </w:rPr>
        <w:t>that affect</w:t>
      </w:r>
      <w:r w:rsidR="005402E6">
        <w:rPr>
          <w:rFonts w:ascii="Cambria" w:hAnsi="Cambria"/>
          <w:color w:val="000000" w:themeColor="text1"/>
        </w:rPr>
        <w:t xml:space="preserve"> their purchase decisions. </w:t>
      </w:r>
    </w:p>
    <w:p w14:paraId="2A6A80F9" w14:textId="78AA8FE1" w:rsidR="008833D1" w:rsidRPr="006D2E38" w:rsidRDefault="008833D1" w:rsidP="00A3777B">
      <w:pPr>
        <w:jc w:val="both"/>
        <w:rPr>
          <w:rFonts w:ascii="Cambria" w:hAnsi="Cambria"/>
          <w:color w:val="000000" w:themeColor="text1"/>
        </w:rPr>
      </w:pPr>
      <w:r w:rsidRPr="006D2E38">
        <w:rPr>
          <w:rFonts w:ascii="Cambria" w:hAnsi="Cambria"/>
          <w:b/>
          <w:color w:val="000000" w:themeColor="text1"/>
        </w:rPr>
        <w:t>Guidelines and investment objectives</w:t>
      </w:r>
      <w:r w:rsidRPr="006D2E38">
        <w:rPr>
          <w:rFonts w:ascii="Cambria" w:hAnsi="Cambria"/>
          <w:color w:val="000000" w:themeColor="text1"/>
        </w:rPr>
        <w:t xml:space="preserve">: Many US investment institutions are subject to restrictions on holding their positions </w:t>
      </w:r>
      <w:r w:rsidR="006D2E38" w:rsidRPr="006D2E38">
        <w:rPr>
          <w:rFonts w:ascii="Cambria" w:hAnsi="Cambria"/>
          <w:color w:val="000000" w:themeColor="text1"/>
        </w:rPr>
        <w:t>outside</w:t>
      </w:r>
      <w:r w:rsidRPr="006D2E38">
        <w:rPr>
          <w:rFonts w:ascii="Cambria" w:hAnsi="Cambria"/>
          <w:color w:val="000000" w:themeColor="text1"/>
        </w:rPr>
        <w:t xml:space="preserve"> the US.</w:t>
      </w:r>
      <w:r w:rsidR="003B53F6">
        <w:rPr>
          <w:rFonts w:ascii="Cambria" w:hAnsi="Cambria"/>
          <w:color w:val="000000" w:themeColor="text1"/>
        </w:rPr>
        <w:t xml:space="preserve">  </w:t>
      </w:r>
      <w:r w:rsidR="006D2E38" w:rsidRPr="006D2E38">
        <w:rPr>
          <w:rFonts w:ascii="Cambria" w:hAnsi="Cambria"/>
          <w:color w:val="000000" w:themeColor="text1"/>
        </w:rPr>
        <w:t>In particular, t</w:t>
      </w:r>
      <w:r w:rsidRPr="006D2E38">
        <w:rPr>
          <w:rFonts w:ascii="Cambria" w:hAnsi="Cambria"/>
          <w:color w:val="000000" w:themeColor="text1"/>
        </w:rPr>
        <w:t xml:space="preserve">his may place limitations on their ability to hold </w:t>
      </w:r>
      <w:r w:rsidR="006D2E38" w:rsidRPr="006D2E38">
        <w:rPr>
          <w:rFonts w:ascii="Cambria" w:hAnsi="Cambria"/>
          <w:color w:val="000000" w:themeColor="text1"/>
        </w:rPr>
        <w:t xml:space="preserve">ordinary shares in foreign custody. </w:t>
      </w:r>
      <w:r w:rsidR="003B53F6">
        <w:rPr>
          <w:rFonts w:ascii="Cambria" w:hAnsi="Cambria"/>
          <w:color w:val="000000" w:themeColor="text1"/>
        </w:rPr>
        <w:t xml:space="preserve"> </w:t>
      </w:r>
      <w:r w:rsidR="006D2E38" w:rsidRPr="006D2E38">
        <w:rPr>
          <w:rFonts w:ascii="Cambria" w:hAnsi="Cambria"/>
          <w:color w:val="000000" w:themeColor="text1"/>
        </w:rPr>
        <w:t>As a result, these institutional investors</w:t>
      </w:r>
      <w:r w:rsidRPr="006D2E38">
        <w:rPr>
          <w:rFonts w:ascii="Cambria" w:hAnsi="Cambria"/>
          <w:color w:val="000000" w:themeColor="text1"/>
        </w:rPr>
        <w:t xml:space="preserve"> </w:t>
      </w:r>
      <w:r w:rsidR="003B53F6">
        <w:rPr>
          <w:rFonts w:ascii="Cambria" w:hAnsi="Cambria"/>
          <w:color w:val="000000" w:themeColor="text1"/>
        </w:rPr>
        <w:t>are</w:t>
      </w:r>
      <w:r w:rsidRPr="006D2E38">
        <w:rPr>
          <w:rFonts w:ascii="Cambria" w:hAnsi="Cambria"/>
          <w:color w:val="000000" w:themeColor="text1"/>
        </w:rPr>
        <w:t xml:space="preserve"> more likely to purchase DRs.</w:t>
      </w:r>
    </w:p>
    <w:p w14:paraId="52E290BF" w14:textId="307577F6" w:rsidR="006D2E38" w:rsidRDefault="008833D1" w:rsidP="00A3777B">
      <w:pPr>
        <w:jc w:val="both"/>
        <w:rPr>
          <w:rFonts w:ascii="Cambria" w:hAnsi="Cambria"/>
          <w:color w:val="000000" w:themeColor="text1"/>
        </w:rPr>
      </w:pPr>
      <w:r w:rsidRPr="006D2E38">
        <w:rPr>
          <w:rFonts w:ascii="Cambria" w:hAnsi="Cambria"/>
          <w:b/>
          <w:color w:val="000000" w:themeColor="text1"/>
        </w:rPr>
        <w:lastRenderedPageBreak/>
        <w:t>Liquidity</w:t>
      </w:r>
      <w:r w:rsidR="006D2E38">
        <w:rPr>
          <w:rFonts w:ascii="Cambria" w:hAnsi="Cambria"/>
          <w:color w:val="000000" w:themeColor="text1"/>
        </w:rPr>
        <w:t xml:space="preserve">: </w:t>
      </w:r>
      <w:r w:rsidRPr="006D2E38">
        <w:rPr>
          <w:rFonts w:ascii="Cambria" w:hAnsi="Cambria"/>
          <w:color w:val="000000" w:themeColor="text1"/>
        </w:rPr>
        <w:t xml:space="preserve">Depending on which market </w:t>
      </w:r>
      <w:r w:rsidR="006D2E38">
        <w:rPr>
          <w:rFonts w:ascii="Cambria" w:hAnsi="Cambria"/>
          <w:color w:val="000000" w:themeColor="text1"/>
        </w:rPr>
        <w:t xml:space="preserve">is more liquid, </w:t>
      </w:r>
      <w:r w:rsidRPr="006D2E38">
        <w:rPr>
          <w:rFonts w:ascii="Cambria" w:hAnsi="Cambria"/>
          <w:color w:val="000000" w:themeColor="text1"/>
        </w:rPr>
        <w:t>investor</w:t>
      </w:r>
      <w:r w:rsidR="006D2E38">
        <w:rPr>
          <w:rFonts w:ascii="Cambria" w:hAnsi="Cambria"/>
          <w:color w:val="000000" w:themeColor="text1"/>
        </w:rPr>
        <w:t>s</w:t>
      </w:r>
      <w:r w:rsidRPr="006D2E38">
        <w:rPr>
          <w:rFonts w:ascii="Cambria" w:hAnsi="Cambria"/>
          <w:color w:val="000000" w:themeColor="text1"/>
        </w:rPr>
        <w:t xml:space="preserve"> may choose to purchase DRs or underlying shares. </w:t>
      </w:r>
      <w:r w:rsidR="00E67858">
        <w:rPr>
          <w:rFonts w:ascii="Cambria" w:hAnsi="Cambria"/>
          <w:color w:val="000000" w:themeColor="text1"/>
        </w:rPr>
        <w:t xml:space="preserve"> S</w:t>
      </w:r>
      <w:r w:rsidR="00E67858" w:rsidRPr="006D2E38">
        <w:rPr>
          <w:rFonts w:ascii="Cambria" w:hAnsi="Cambria"/>
          <w:color w:val="000000" w:themeColor="text1"/>
        </w:rPr>
        <w:t>upply and demand</w:t>
      </w:r>
      <w:r w:rsidR="00E67858" w:rsidRPr="006D2E38" w:rsidDel="00E67858">
        <w:rPr>
          <w:rFonts w:ascii="Cambria" w:hAnsi="Cambria"/>
          <w:color w:val="000000" w:themeColor="text1"/>
        </w:rPr>
        <w:t xml:space="preserve"> </w:t>
      </w:r>
      <w:r w:rsidR="00E67858">
        <w:rPr>
          <w:rFonts w:ascii="Cambria" w:hAnsi="Cambria"/>
          <w:color w:val="000000" w:themeColor="text1"/>
        </w:rPr>
        <w:t>is regulated by t</w:t>
      </w:r>
      <w:r w:rsidRPr="006D2E38">
        <w:rPr>
          <w:rFonts w:ascii="Cambria" w:hAnsi="Cambria"/>
          <w:color w:val="000000" w:themeColor="text1"/>
        </w:rPr>
        <w:t>he issuance and cancellation mechanism underlying the creation of DRs</w:t>
      </w:r>
      <w:r w:rsidR="006D2E38">
        <w:rPr>
          <w:rFonts w:ascii="Cambria" w:hAnsi="Cambria"/>
          <w:color w:val="000000" w:themeColor="text1"/>
        </w:rPr>
        <w:t xml:space="preserve">. </w:t>
      </w:r>
      <w:r w:rsidR="00E67858">
        <w:rPr>
          <w:rFonts w:ascii="Cambria" w:hAnsi="Cambria"/>
          <w:color w:val="000000" w:themeColor="text1"/>
        </w:rPr>
        <w:t xml:space="preserve"> </w:t>
      </w:r>
      <w:r w:rsidR="006D2E38" w:rsidRPr="008C5933">
        <w:rPr>
          <w:rFonts w:ascii="Cambria" w:hAnsi="Cambria"/>
          <w:color w:val="000000" w:themeColor="text1"/>
        </w:rPr>
        <w:t>Based on trading volume statistics, the DR market for Russian companies is higher than the local market.</w:t>
      </w:r>
      <w:r w:rsidR="006D2E38">
        <w:rPr>
          <w:rFonts w:ascii="Cambria" w:hAnsi="Cambria"/>
          <w:color w:val="000000" w:themeColor="text1"/>
        </w:rPr>
        <w:t xml:space="preserve"> </w:t>
      </w:r>
      <w:r w:rsidR="00306EEA">
        <w:rPr>
          <w:rFonts w:ascii="Cambria" w:hAnsi="Cambria"/>
          <w:color w:val="000000" w:themeColor="text1"/>
        </w:rPr>
        <w:t xml:space="preserve"> </w:t>
      </w:r>
      <w:r w:rsidR="006D2E38">
        <w:rPr>
          <w:rFonts w:ascii="Cambria" w:hAnsi="Cambria"/>
          <w:color w:val="000000" w:themeColor="text1"/>
        </w:rPr>
        <w:t>T</w:t>
      </w:r>
      <w:r w:rsidR="00306EEA">
        <w:rPr>
          <w:rFonts w:ascii="Cambria" w:hAnsi="Cambria"/>
          <w:color w:val="000000" w:themeColor="text1"/>
        </w:rPr>
        <w:t xml:space="preserve">o show </w:t>
      </w:r>
      <w:r w:rsidR="00B0131F">
        <w:rPr>
          <w:rFonts w:ascii="Cambria" w:hAnsi="Cambria"/>
          <w:color w:val="000000" w:themeColor="text1"/>
        </w:rPr>
        <w:t>t</w:t>
      </w:r>
      <w:r w:rsidR="006D2E38">
        <w:rPr>
          <w:rFonts w:ascii="Cambria" w:hAnsi="Cambria"/>
          <w:color w:val="000000" w:themeColor="text1"/>
        </w:rPr>
        <w:t>he current split between DR</w:t>
      </w:r>
      <w:r w:rsidR="00B0131F">
        <w:rPr>
          <w:rFonts w:ascii="Cambria" w:hAnsi="Cambria"/>
          <w:color w:val="000000" w:themeColor="text1"/>
        </w:rPr>
        <w:t>s</w:t>
      </w:r>
      <w:r w:rsidR="006D2E38">
        <w:rPr>
          <w:rFonts w:ascii="Cambria" w:hAnsi="Cambria"/>
          <w:color w:val="000000" w:themeColor="text1"/>
        </w:rPr>
        <w:t xml:space="preserve"> and </w:t>
      </w:r>
      <w:r w:rsidR="00B0131F">
        <w:rPr>
          <w:rFonts w:ascii="Cambria" w:hAnsi="Cambria"/>
          <w:color w:val="000000" w:themeColor="text1"/>
        </w:rPr>
        <w:t xml:space="preserve">the </w:t>
      </w:r>
      <w:r w:rsidR="00306EEA">
        <w:rPr>
          <w:rFonts w:ascii="Cambria" w:hAnsi="Cambria"/>
          <w:color w:val="000000" w:themeColor="text1"/>
        </w:rPr>
        <w:t>l</w:t>
      </w:r>
      <w:r w:rsidR="006D2E38">
        <w:rPr>
          <w:rFonts w:ascii="Cambria" w:hAnsi="Cambria"/>
          <w:color w:val="000000" w:themeColor="text1"/>
        </w:rPr>
        <w:t>ocal market</w:t>
      </w:r>
      <w:r w:rsidR="00306EEA">
        <w:rPr>
          <w:rFonts w:ascii="Cambria" w:hAnsi="Cambria"/>
          <w:color w:val="000000" w:themeColor="text1"/>
        </w:rPr>
        <w:t>,</w:t>
      </w:r>
      <w:r w:rsidR="006D2E38">
        <w:rPr>
          <w:rFonts w:ascii="Cambria" w:hAnsi="Cambria"/>
          <w:color w:val="000000" w:themeColor="text1"/>
        </w:rPr>
        <w:t xml:space="preserve"> 60% of </w:t>
      </w:r>
      <w:r w:rsidR="00B0131F">
        <w:rPr>
          <w:rFonts w:ascii="Cambria" w:hAnsi="Cambria"/>
          <w:color w:val="000000" w:themeColor="text1"/>
        </w:rPr>
        <w:t xml:space="preserve">the </w:t>
      </w:r>
      <w:r w:rsidR="00F57F33">
        <w:rPr>
          <w:rFonts w:ascii="Cambria" w:hAnsi="Cambria"/>
          <w:color w:val="000000" w:themeColor="text1"/>
        </w:rPr>
        <w:t>daily</w:t>
      </w:r>
      <w:r w:rsidR="006D2E38">
        <w:rPr>
          <w:rFonts w:ascii="Cambria" w:hAnsi="Cambria"/>
          <w:color w:val="000000" w:themeColor="text1"/>
        </w:rPr>
        <w:t xml:space="preserve"> trading volume of Russian blue chip companies is settled on the London Stock Exchange</w:t>
      </w:r>
      <w:r w:rsidR="00306EEA">
        <w:rPr>
          <w:rFonts w:ascii="Cambria" w:hAnsi="Cambria"/>
          <w:color w:val="000000" w:themeColor="text1"/>
        </w:rPr>
        <w:t>,</w:t>
      </w:r>
      <w:r w:rsidR="006D2E38">
        <w:rPr>
          <w:rFonts w:ascii="Cambria" w:hAnsi="Cambria"/>
          <w:color w:val="000000" w:themeColor="text1"/>
        </w:rPr>
        <w:t xml:space="preserve"> </w:t>
      </w:r>
      <w:r w:rsidR="00306EEA">
        <w:rPr>
          <w:rFonts w:ascii="Cambria" w:hAnsi="Cambria"/>
          <w:color w:val="000000" w:themeColor="text1"/>
        </w:rPr>
        <w:t xml:space="preserve">while </w:t>
      </w:r>
      <w:r w:rsidR="006D2E38">
        <w:rPr>
          <w:rFonts w:ascii="Cambria" w:hAnsi="Cambria"/>
          <w:color w:val="000000" w:themeColor="text1"/>
        </w:rPr>
        <w:t>40% is settle</w:t>
      </w:r>
      <w:r w:rsidR="00306EEA">
        <w:rPr>
          <w:rFonts w:ascii="Cambria" w:hAnsi="Cambria"/>
          <w:color w:val="000000" w:themeColor="text1"/>
        </w:rPr>
        <w:t>d</w:t>
      </w:r>
      <w:r w:rsidR="006D2E38">
        <w:rPr>
          <w:rFonts w:ascii="Cambria" w:hAnsi="Cambria"/>
          <w:color w:val="000000" w:themeColor="text1"/>
        </w:rPr>
        <w:t xml:space="preserve"> on </w:t>
      </w:r>
      <w:r w:rsidR="00306EEA">
        <w:rPr>
          <w:rFonts w:ascii="Cambria" w:hAnsi="Cambria"/>
          <w:color w:val="000000" w:themeColor="text1"/>
        </w:rPr>
        <w:t xml:space="preserve">the </w:t>
      </w:r>
      <w:r w:rsidR="006D2E38">
        <w:rPr>
          <w:rFonts w:ascii="Cambria" w:hAnsi="Cambria"/>
          <w:color w:val="000000" w:themeColor="text1"/>
        </w:rPr>
        <w:t xml:space="preserve">Moscow Stock Exchange. </w:t>
      </w:r>
    </w:p>
    <w:p w14:paraId="58D7C361" w14:textId="10941A82" w:rsidR="008833D1" w:rsidRPr="006D2E38" w:rsidRDefault="008833D1" w:rsidP="00A3777B">
      <w:pPr>
        <w:jc w:val="both"/>
        <w:rPr>
          <w:rFonts w:ascii="Cambria" w:hAnsi="Cambria"/>
          <w:color w:val="000000" w:themeColor="text1"/>
        </w:rPr>
      </w:pPr>
      <w:r w:rsidRPr="006D2E38">
        <w:rPr>
          <w:rFonts w:ascii="Cambria" w:hAnsi="Cambria"/>
          <w:b/>
          <w:color w:val="000000" w:themeColor="text1"/>
        </w:rPr>
        <w:t>Transaction costs</w:t>
      </w:r>
      <w:r w:rsidR="006D2E38">
        <w:rPr>
          <w:rFonts w:ascii="Cambria" w:hAnsi="Cambria"/>
          <w:color w:val="000000" w:themeColor="text1"/>
        </w:rPr>
        <w:t>:</w:t>
      </w:r>
      <w:r w:rsidR="000578A1">
        <w:rPr>
          <w:rFonts w:ascii="Cambria" w:hAnsi="Cambria"/>
          <w:color w:val="000000" w:themeColor="text1"/>
        </w:rPr>
        <w:t xml:space="preserve"> One of the main </w:t>
      </w:r>
      <w:r w:rsidRPr="008C5933">
        <w:rPr>
          <w:rFonts w:ascii="Cambria" w:hAnsi="Cambria"/>
          <w:color w:val="000000" w:themeColor="text1"/>
        </w:rPr>
        <w:t>advantage</w:t>
      </w:r>
      <w:r w:rsidR="000578A1" w:rsidRPr="008C5933">
        <w:rPr>
          <w:rFonts w:ascii="Cambria" w:hAnsi="Cambria"/>
          <w:color w:val="000000" w:themeColor="text1"/>
        </w:rPr>
        <w:t>s</w:t>
      </w:r>
      <w:r w:rsidRPr="006D2E38">
        <w:rPr>
          <w:rFonts w:ascii="Cambria" w:hAnsi="Cambria"/>
          <w:color w:val="000000" w:themeColor="text1"/>
        </w:rPr>
        <w:t xml:space="preserve"> of buying DRs is the absence of foreign custody fees</w:t>
      </w:r>
      <w:r w:rsidR="00B0131F">
        <w:rPr>
          <w:rFonts w:ascii="Cambria" w:hAnsi="Cambria"/>
          <w:color w:val="000000" w:themeColor="text1"/>
        </w:rPr>
        <w:t xml:space="preserve">, which </w:t>
      </w:r>
      <w:r w:rsidRPr="006D2E38">
        <w:rPr>
          <w:rFonts w:ascii="Cambria" w:hAnsi="Cambria"/>
          <w:color w:val="000000" w:themeColor="text1"/>
        </w:rPr>
        <w:t>rang</w:t>
      </w:r>
      <w:r w:rsidR="00B0131F">
        <w:rPr>
          <w:rFonts w:ascii="Cambria" w:hAnsi="Cambria"/>
          <w:color w:val="000000" w:themeColor="text1"/>
        </w:rPr>
        <w:t>e</w:t>
      </w:r>
      <w:r w:rsidRPr="006D2E38">
        <w:rPr>
          <w:rFonts w:ascii="Cambria" w:hAnsi="Cambria"/>
          <w:color w:val="000000" w:themeColor="text1"/>
        </w:rPr>
        <w:t xml:space="preserve"> from between 10-35 basis points per year, based</w:t>
      </w:r>
      <w:r w:rsidR="00AC23C4">
        <w:rPr>
          <w:rFonts w:ascii="Cambria" w:hAnsi="Cambria"/>
          <w:color w:val="000000" w:themeColor="text1"/>
        </w:rPr>
        <w:t xml:space="preserve"> on the value of the investment</w:t>
      </w:r>
      <w:r w:rsidRPr="006D2E38">
        <w:rPr>
          <w:rFonts w:ascii="Cambria" w:hAnsi="Cambria"/>
          <w:color w:val="000000" w:themeColor="text1"/>
        </w:rPr>
        <w:t xml:space="preserve">. </w:t>
      </w:r>
      <w:r w:rsidR="00AC23C4">
        <w:rPr>
          <w:rFonts w:ascii="Cambria" w:hAnsi="Cambria"/>
          <w:color w:val="000000" w:themeColor="text1"/>
        </w:rPr>
        <w:t>Before purchasing DRs</w:t>
      </w:r>
      <w:r w:rsidR="00B0131F">
        <w:rPr>
          <w:rFonts w:ascii="Cambria" w:hAnsi="Cambria"/>
          <w:color w:val="000000" w:themeColor="text1"/>
        </w:rPr>
        <w:t>,</w:t>
      </w:r>
      <w:r w:rsidR="00AC23C4">
        <w:rPr>
          <w:rFonts w:ascii="Cambria" w:hAnsi="Cambria"/>
          <w:color w:val="000000" w:themeColor="text1"/>
        </w:rPr>
        <w:t xml:space="preserve"> investors should conduct the cost/benefit analysis of </w:t>
      </w:r>
      <w:r w:rsidRPr="006D2E38">
        <w:rPr>
          <w:rFonts w:ascii="Cambria" w:hAnsi="Cambria"/>
          <w:color w:val="000000" w:themeColor="text1"/>
        </w:rPr>
        <w:t xml:space="preserve">holding underlying securities or DRs. </w:t>
      </w:r>
    </w:p>
    <w:p w14:paraId="686F51D4" w14:textId="69586D1F" w:rsidR="00C41978" w:rsidRPr="00960585" w:rsidRDefault="00B85DBE" w:rsidP="00960585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Collateral of DR</w:t>
      </w:r>
      <w:r w:rsidR="00B0131F">
        <w:rPr>
          <w:rFonts w:ascii="Cambria" w:hAnsi="Cambria"/>
          <w:b/>
          <w:color w:val="000000" w:themeColor="text1"/>
        </w:rPr>
        <w:t>s</w:t>
      </w:r>
      <w:r>
        <w:rPr>
          <w:rFonts w:ascii="Cambria" w:hAnsi="Cambria"/>
          <w:b/>
          <w:color w:val="000000" w:themeColor="text1"/>
        </w:rPr>
        <w:t xml:space="preserve">: </w:t>
      </w:r>
      <w:r w:rsidR="00B0131F">
        <w:rPr>
          <w:rFonts w:ascii="Cambria" w:hAnsi="Cambria"/>
          <w:color w:val="000000" w:themeColor="text1"/>
        </w:rPr>
        <w:t>The m</w:t>
      </w:r>
      <w:r w:rsidRPr="00B85DBE">
        <w:rPr>
          <w:rFonts w:ascii="Cambria" w:hAnsi="Cambria"/>
          <w:color w:val="000000" w:themeColor="text1"/>
        </w:rPr>
        <w:t>ajority of Russian</w:t>
      </w:r>
      <w:r>
        <w:rPr>
          <w:rFonts w:ascii="Cambria" w:hAnsi="Cambria"/>
          <w:color w:val="000000" w:themeColor="text1"/>
        </w:rPr>
        <w:t xml:space="preserve"> o</w:t>
      </w:r>
      <w:r w:rsidRPr="00B85DBE">
        <w:rPr>
          <w:rFonts w:ascii="Cambria" w:hAnsi="Cambria"/>
          <w:color w:val="000000" w:themeColor="text1"/>
        </w:rPr>
        <w:t>ligarch</w:t>
      </w:r>
      <w:r w:rsidR="006321D3">
        <w:rPr>
          <w:rFonts w:ascii="Cambria" w:hAnsi="Cambria"/>
          <w:color w:val="000000" w:themeColor="text1"/>
        </w:rPr>
        <w:t>s</w:t>
      </w:r>
      <w:r w:rsidRPr="00B85DBE">
        <w:rPr>
          <w:rFonts w:ascii="Cambria" w:hAnsi="Cambria"/>
          <w:color w:val="000000" w:themeColor="text1"/>
        </w:rPr>
        <w:t xml:space="preserve"> </w:t>
      </w:r>
      <w:r w:rsidR="006321D3" w:rsidRPr="00B85DBE">
        <w:rPr>
          <w:rFonts w:ascii="Cambria" w:hAnsi="Cambria"/>
          <w:color w:val="000000" w:themeColor="text1"/>
        </w:rPr>
        <w:t>hold</w:t>
      </w:r>
      <w:r w:rsidRPr="00B85DBE">
        <w:rPr>
          <w:rFonts w:ascii="Cambria" w:hAnsi="Cambria"/>
          <w:color w:val="000000" w:themeColor="text1"/>
        </w:rPr>
        <w:t xml:space="preserve"> their </w:t>
      </w:r>
      <w:r w:rsidR="00F57F33">
        <w:rPr>
          <w:rFonts w:ascii="Cambria" w:hAnsi="Cambria"/>
          <w:color w:val="000000" w:themeColor="text1"/>
        </w:rPr>
        <w:t xml:space="preserve">equity </w:t>
      </w:r>
      <w:r w:rsidRPr="00B85DBE">
        <w:rPr>
          <w:rFonts w:ascii="Cambria" w:hAnsi="Cambria"/>
          <w:color w:val="000000" w:themeColor="text1"/>
        </w:rPr>
        <w:t>stakes</w:t>
      </w:r>
      <w:r w:rsidR="006321D3">
        <w:rPr>
          <w:rFonts w:ascii="Cambria" w:hAnsi="Cambria"/>
          <w:color w:val="000000" w:themeColor="text1"/>
        </w:rPr>
        <w:t xml:space="preserve"> in </w:t>
      </w:r>
      <w:r w:rsidR="00B0131F">
        <w:rPr>
          <w:rFonts w:ascii="Cambria" w:hAnsi="Cambria"/>
          <w:color w:val="000000" w:themeColor="text1"/>
        </w:rPr>
        <w:t>the</w:t>
      </w:r>
      <w:r w:rsidR="006321D3">
        <w:rPr>
          <w:rFonts w:ascii="Cambria" w:hAnsi="Cambria"/>
          <w:color w:val="000000" w:themeColor="text1"/>
        </w:rPr>
        <w:t xml:space="preserve"> form of DRs </w:t>
      </w:r>
      <w:r w:rsidR="00E954DA">
        <w:rPr>
          <w:rFonts w:ascii="Cambria" w:hAnsi="Cambria"/>
          <w:color w:val="000000" w:themeColor="text1"/>
        </w:rPr>
        <w:t>via offshore vehicle</w:t>
      </w:r>
      <w:r w:rsidR="00F57F33">
        <w:rPr>
          <w:rFonts w:ascii="Cambria" w:hAnsi="Cambria"/>
          <w:color w:val="000000" w:themeColor="text1"/>
        </w:rPr>
        <w:t>s</w:t>
      </w:r>
      <w:r w:rsidR="00E954DA">
        <w:rPr>
          <w:rFonts w:ascii="Cambria" w:hAnsi="Cambria"/>
          <w:color w:val="000000" w:themeColor="text1"/>
        </w:rPr>
        <w:t xml:space="preserve"> under</w:t>
      </w:r>
      <w:r w:rsidR="006321D3">
        <w:rPr>
          <w:rFonts w:ascii="Cambria" w:hAnsi="Cambria"/>
          <w:color w:val="000000" w:themeColor="text1"/>
        </w:rPr>
        <w:t xml:space="preserve"> nominee a</w:t>
      </w:r>
      <w:r w:rsidR="00E954DA">
        <w:rPr>
          <w:rFonts w:ascii="Cambria" w:hAnsi="Cambria"/>
          <w:color w:val="000000" w:themeColor="text1"/>
        </w:rPr>
        <w:t>ccounts</w:t>
      </w:r>
      <w:r w:rsidR="000578A1">
        <w:rPr>
          <w:rFonts w:ascii="Cambria" w:hAnsi="Cambria"/>
          <w:color w:val="000000" w:themeColor="text1"/>
        </w:rPr>
        <w:t>.</w:t>
      </w:r>
      <w:r w:rsidR="00BD2235">
        <w:rPr>
          <w:rFonts w:ascii="Cambria" w:hAnsi="Cambria"/>
          <w:color w:val="000000" w:themeColor="text1"/>
        </w:rPr>
        <w:t xml:space="preserve">  </w:t>
      </w:r>
      <w:r w:rsidR="000578A1">
        <w:rPr>
          <w:rFonts w:ascii="Cambria" w:hAnsi="Cambria"/>
          <w:color w:val="000000" w:themeColor="text1"/>
        </w:rPr>
        <w:t xml:space="preserve">These nominee accounts are </w:t>
      </w:r>
      <w:r w:rsidR="00F57F33">
        <w:rPr>
          <w:rFonts w:ascii="Cambria" w:hAnsi="Cambria"/>
          <w:color w:val="000000" w:themeColor="text1"/>
        </w:rPr>
        <w:t>not tra</w:t>
      </w:r>
      <w:r w:rsidR="000578A1">
        <w:rPr>
          <w:rFonts w:ascii="Cambria" w:hAnsi="Cambria"/>
          <w:color w:val="000000" w:themeColor="text1"/>
        </w:rPr>
        <w:t>nsparent to the market</w:t>
      </w:r>
      <w:r w:rsidR="00F57F33">
        <w:rPr>
          <w:rFonts w:ascii="Cambria" w:hAnsi="Cambria"/>
          <w:color w:val="000000" w:themeColor="text1"/>
        </w:rPr>
        <w:t xml:space="preserve">. </w:t>
      </w:r>
      <w:r w:rsidR="00B0131F">
        <w:rPr>
          <w:rFonts w:ascii="Cambria" w:hAnsi="Cambria"/>
          <w:color w:val="000000" w:themeColor="text1"/>
        </w:rPr>
        <w:t xml:space="preserve"> </w:t>
      </w:r>
      <w:r w:rsidR="00F57F33">
        <w:rPr>
          <w:rFonts w:ascii="Cambria" w:hAnsi="Cambria"/>
          <w:color w:val="000000" w:themeColor="text1"/>
        </w:rPr>
        <w:t xml:space="preserve">When </w:t>
      </w:r>
      <w:r w:rsidR="000578A1">
        <w:rPr>
          <w:rFonts w:ascii="Cambria" w:hAnsi="Cambria"/>
          <w:color w:val="000000" w:themeColor="text1"/>
        </w:rPr>
        <w:t xml:space="preserve">the </w:t>
      </w:r>
      <w:r w:rsidR="00F57F33">
        <w:rPr>
          <w:rFonts w:ascii="Cambria" w:hAnsi="Cambria"/>
          <w:color w:val="000000" w:themeColor="text1"/>
        </w:rPr>
        <w:t xml:space="preserve">oligarchs </w:t>
      </w:r>
      <w:r w:rsidR="00B0131F">
        <w:rPr>
          <w:rFonts w:ascii="Cambria" w:hAnsi="Cambria"/>
          <w:color w:val="000000" w:themeColor="text1"/>
        </w:rPr>
        <w:t xml:space="preserve">make </w:t>
      </w:r>
      <w:r w:rsidR="00E954DA">
        <w:rPr>
          <w:rFonts w:ascii="Cambria" w:hAnsi="Cambria"/>
          <w:color w:val="000000" w:themeColor="text1"/>
        </w:rPr>
        <w:t>a</w:t>
      </w:r>
      <w:r w:rsidR="006321D3">
        <w:rPr>
          <w:rFonts w:ascii="Cambria" w:hAnsi="Cambria"/>
          <w:color w:val="000000" w:themeColor="text1"/>
        </w:rPr>
        <w:t xml:space="preserve"> loan </w:t>
      </w:r>
      <w:r w:rsidR="00E954DA">
        <w:rPr>
          <w:rFonts w:ascii="Cambria" w:hAnsi="Cambria"/>
          <w:color w:val="000000" w:themeColor="text1"/>
        </w:rPr>
        <w:t xml:space="preserve">(syndicated or club) </w:t>
      </w:r>
      <w:r w:rsidR="006321D3">
        <w:rPr>
          <w:rFonts w:ascii="Cambria" w:hAnsi="Cambria"/>
          <w:color w:val="000000" w:themeColor="text1"/>
        </w:rPr>
        <w:t>from foreign banks</w:t>
      </w:r>
      <w:r w:rsidR="000578A1">
        <w:rPr>
          <w:rFonts w:ascii="Cambria" w:hAnsi="Cambria"/>
          <w:color w:val="000000" w:themeColor="text1"/>
        </w:rPr>
        <w:t>,</w:t>
      </w:r>
      <w:r w:rsidR="006321D3">
        <w:rPr>
          <w:rFonts w:ascii="Cambria" w:hAnsi="Cambria"/>
          <w:color w:val="000000" w:themeColor="text1"/>
        </w:rPr>
        <w:t xml:space="preserve"> </w:t>
      </w:r>
      <w:r w:rsidR="00E954DA">
        <w:rPr>
          <w:rFonts w:ascii="Cambria" w:hAnsi="Cambria"/>
          <w:color w:val="000000" w:themeColor="text1"/>
        </w:rPr>
        <w:t>a lead arranger (financial institution) of the loan prefer</w:t>
      </w:r>
      <w:r w:rsidR="00B0131F">
        <w:rPr>
          <w:rFonts w:ascii="Cambria" w:hAnsi="Cambria"/>
          <w:color w:val="000000" w:themeColor="text1"/>
        </w:rPr>
        <w:t>s</w:t>
      </w:r>
      <w:r w:rsidR="00E954DA">
        <w:rPr>
          <w:rFonts w:ascii="Cambria" w:hAnsi="Cambria"/>
          <w:color w:val="000000" w:themeColor="text1"/>
        </w:rPr>
        <w:t xml:space="preserve"> to take DRs as collateral rather than ordinary shares. </w:t>
      </w:r>
      <w:r w:rsidR="00B0131F">
        <w:rPr>
          <w:rFonts w:ascii="Cambria" w:hAnsi="Cambria"/>
          <w:color w:val="000000" w:themeColor="text1"/>
        </w:rPr>
        <w:t xml:space="preserve"> </w:t>
      </w:r>
      <w:r w:rsidR="00E954DA">
        <w:rPr>
          <w:rFonts w:ascii="Cambria" w:hAnsi="Cambria"/>
          <w:color w:val="000000" w:themeColor="text1"/>
        </w:rPr>
        <w:t>In many cases</w:t>
      </w:r>
      <w:r w:rsidR="00B0131F">
        <w:rPr>
          <w:rFonts w:ascii="Cambria" w:hAnsi="Cambria"/>
          <w:color w:val="000000" w:themeColor="text1"/>
        </w:rPr>
        <w:t>,</w:t>
      </w:r>
      <w:r w:rsidR="00E954DA">
        <w:rPr>
          <w:rFonts w:ascii="Cambria" w:hAnsi="Cambria"/>
          <w:color w:val="000000" w:themeColor="text1"/>
        </w:rPr>
        <w:t xml:space="preserve"> banks offer </w:t>
      </w:r>
      <w:r w:rsidR="006321D3">
        <w:rPr>
          <w:rFonts w:ascii="Cambria" w:hAnsi="Cambria"/>
          <w:color w:val="000000" w:themeColor="text1"/>
        </w:rPr>
        <w:t>a slightly</w:t>
      </w:r>
      <w:r w:rsidR="00E954DA">
        <w:rPr>
          <w:rFonts w:ascii="Cambria" w:hAnsi="Cambria"/>
          <w:color w:val="000000" w:themeColor="text1"/>
        </w:rPr>
        <w:t xml:space="preserve"> better </w:t>
      </w:r>
      <w:r w:rsidR="00BD2235">
        <w:rPr>
          <w:rFonts w:ascii="Cambria" w:hAnsi="Cambria"/>
          <w:color w:val="000000" w:themeColor="text1"/>
        </w:rPr>
        <w:t xml:space="preserve">loan </w:t>
      </w:r>
      <w:r w:rsidR="00E954DA">
        <w:rPr>
          <w:rFonts w:ascii="Cambria" w:hAnsi="Cambria"/>
          <w:color w:val="000000" w:themeColor="text1"/>
        </w:rPr>
        <w:t xml:space="preserve">terms </w:t>
      </w:r>
      <w:r w:rsidR="006321D3">
        <w:rPr>
          <w:rFonts w:ascii="Cambria" w:hAnsi="Cambria"/>
          <w:color w:val="000000" w:themeColor="text1"/>
        </w:rPr>
        <w:t>when a borrower</w:t>
      </w:r>
      <w:r w:rsidR="00E954DA">
        <w:rPr>
          <w:rFonts w:ascii="Cambria" w:hAnsi="Cambria"/>
          <w:color w:val="000000" w:themeColor="text1"/>
        </w:rPr>
        <w:t xml:space="preserve"> </w:t>
      </w:r>
      <w:r w:rsidR="00BD2235">
        <w:rPr>
          <w:rFonts w:ascii="Cambria" w:hAnsi="Cambria"/>
          <w:color w:val="000000" w:themeColor="text1"/>
        </w:rPr>
        <w:t xml:space="preserve">uses </w:t>
      </w:r>
      <w:r w:rsidR="00E954DA">
        <w:rPr>
          <w:rFonts w:ascii="Cambria" w:hAnsi="Cambria"/>
          <w:color w:val="000000" w:themeColor="text1"/>
        </w:rPr>
        <w:t>DR as securities</w:t>
      </w:r>
      <w:r w:rsidR="006321D3">
        <w:rPr>
          <w:rFonts w:ascii="Cambria" w:hAnsi="Cambria"/>
          <w:color w:val="000000" w:themeColor="text1"/>
        </w:rPr>
        <w:t xml:space="preserve"> collateral.  </w:t>
      </w:r>
    </w:p>
    <w:p w14:paraId="11A319F2" w14:textId="24BD391B" w:rsidR="00C41978" w:rsidRPr="00C41978" w:rsidRDefault="00C41978" w:rsidP="00407A2A">
      <w:pPr>
        <w:rPr>
          <w:rFonts w:ascii="Cambria" w:hAnsi="Cambria"/>
          <w:color w:val="FF0000"/>
          <w:sz w:val="36"/>
        </w:rPr>
      </w:pPr>
      <w:r w:rsidRPr="00C41978">
        <w:rPr>
          <w:rFonts w:ascii="Cambria" w:hAnsi="Cambria"/>
          <w:color w:val="FF0000"/>
          <w:sz w:val="36"/>
        </w:rPr>
        <w:t xml:space="preserve">New </w:t>
      </w:r>
      <w:r w:rsidR="00B0131F">
        <w:rPr>
          <w:rFonts w:ascii="Cambria" w:hAnsi="Cambria"/>
          <w:color w:val="FF0000"/>
          <w:sz w:val="36"/>
        </w:rPr>
        <w:t>A</w:t>
      </w:r>
      <w:r w:rsidRPr="00C41978">
        <w:rPr>
          <w:rFonts w:ascii="Cambria" w:hAnsi="Cambria"/>
          <w:color w:val="FF0000"/>
          <w:sz w:val="36"/>
        </w:rPr>
        <w:t xml:space="preserve">mendments in </w:t>
      </w:r>
      <w:r>
        <w:rPr>
          <w:rFonts w:ascii="Cambria" w:hAnsi="Cambria"/>
          <w:color w:val="FF0000"/>
          <w:sz w:val="36"/>
        </w:rPr>
        <w:t xml:space="preserve">the Russian </w:t>
      </w:r>
      <w:r w:rsidR="00B0131F">
        <w:rPr>
          <w:rFonts w:ascii="Cambria" w:hAnsi="Cambria"/>
          <w:color w:val="FF0000"/>
          <w:sz w:val="36"/>
        </w:rPr>
        <w:t>R</w:t>
      </w:r>
      <w:r w:rsidRPr="00C41978">
        <w:rPr>
          <w:rFonts w:ascii="Cambria" w:hAnsi="Cambria"/>
          <w:color w:val="FF0000"/>
          <w:sz w:val="36"/>
        </w:rPr>
        <w:t xml:space="preserve">egulatory </w:t>
      </w:r>
      <w:r w:rsidR="00B0131F">
        <w:rPr>
          <w:rFonts w:ascii="Cambria" w:hAnsi="Cambria"/>
          <w:color w:val="FF0000"/>
          <w:sz w:val="36"/>
        </w:rPr>
        <w:t>F</w:t>
      </w:r>
      <w:r w:rsidRPr="00C41978">
        <w:rPr>
          <w:rFonts w:ascii="Cambria" w:hAnsi="Cambria"/>
          <w:color w:val="FF0000"/>
          <w:sz w:val="36"/>
        </w:rPr>
        <w:t xml:space="preserve">ramework </w:t>
      </w:r>
    </w:p>
    <w:p w14:paraId="392709EB" w14:textId="71347002" w:rsidR="00C41978" w:rsidRPr="00C41978" w:rsidRDefault="00C41978" w:rsidP="00C41978">
      <w:pPr>
        <w:rPr>
          <w:rFonts w:ascii="Cambria" w:hAnsi="Cambria"/>
          <w:color w:val="FF0000"/>
          <w:sz w:val="32"/>
        </w:rPr>
      </w:pPr>
      <w:r w:rsidRPr="00C41978">
        <w:rPr>
          <w:rFonts w:ascii="Cambria" w:hAnsi="Cambria"/>
          <w:color w:val="FF0000"/>
          <w:sz w:val="32"/>
        </w:rPr>
        <w:t xml:space="preserve">Disclosure </w:t>
      </w:r>
      <w:r w:rsidR="00B0131F">
        <w:rPr>
          <w:rFonts w:ascii="Cambria" w:hAnsi="Cambria"/>
          <w:color w:val="FF0000"/>
          <w:sz w:val="32"/>
        </w:rPr>
        <w:t>R</w:t>
      </w:r>
      <w:r w:rsidRPr="00C41978">
        <w:rPr>
          <w:rFonts w:ascii="Cambria" w:hAnsi="Cambria"/>
          <w:color w:val="FF0000"/>
          <w:sz w:val="32"/>
        </w:rPr>
        <w:t xml:space="preserve">equirements for </w:t>
      </w:r>
      <w:r w:rsidR="00B0131F">
        <w:rPr>
          <w:rFonts w:ascii="Cambria" w:hAnsi="Cambria"/>
          <w:color w:val="FF0000"/>
          <w:sz w:val="32"/>
        </w:rPr>
        <w:t>D</w:t>
      </w:r>
      <w:r w:rsidRPr="00C41978">
        <w:rPr>
          <w:rFonts w:ascii="Cambria" w:hAnsi="Cambria"/>
          <w:color w:val="FF0000"/>
          <w:sz w:val="32"/>
        </w:rPr>
        <w:t xml:space="preserve">ividends and </w:t>
      </w:r>
      <w:r w:rsidR="00B0131F">
        <w:rPr>
          <w:rFonts w:ascii="Cambria" w:hAnsi="Cambria"/>
          <w:color w:val="FF0000"/>
          <w:sz w:val="32"/>
        </w:rPr>
        <w:t>V</w:t>
      </w:r>
      <w:r w:rsidRPr="00C41978">
        <w:rPr>
          <w:rFonts w:ascii="Cambria" w:hAnsi="Cambria"/>
          <w:color w:val="FF0000"/>
          <w:sz w:val="32"/>
        </w:rPr>
        <w:t>oting</w:t>
      </w:r>
    </w:p>
    <w:p w14:paraId="29B44E45" w14:textId="4734F1ED" w:rsidR="00301087" w:rsidRDefault="000E277D" w:rsidP="00301087">
      <w:pPr>
        <w:spacing w:before="0" w:after="0"/>
        <w:jc w:val="both"/>
        <w:rPr>
          <w:rFonts w:ascii="Cambria" w:hAnsi="Cambria" w:cs="Times New Roman"/>
          <w:color w:val="auto"/>
          <w:szCs w:val="18"/>
        </w:rPr>
      </w:pPr>
      <w:r>
        <w:rPr>
          <w:rFonts w:ascii="Cambria" w:hAnsi="Cambria" w:cs="Times New Roman"/>
          <w:color w:val="auto"/>
          <w:szCs w:val="18"/>
        </w:rPr>
        <w:t>In 2012, t</w:t>
      </w:r>
      <w:r w:rsidR="006C1C08" w:rsidRPr="006C1C08">
        <w:rPr>
          <w:rFonts w:ascii="Cambria" w:hAnsi="Cambria" w:cs="Times New Roman"/>
          <w:color w:val="auto"/>
          <w:szCs w:val="18"/>
        </w:rPr>
        <w:t xml:space="preserve">he Russian Federation </w:t>
      </w:r>
      <w:r w:rsidR="00E20389">
        <w:rPr>
          <w:rFonts w:ascii="Cambria" w:hAnsi="Cambria" w:cs="Times New Roman"/>
          <w:color w:val="auto"/>
          <w:szCs w:val="18"/>
        </w:rPr>
        <w:t>i</w:t>
      </w:r>
      <w:r w:rsidR="006C1C08" w:rsidRPr="006C1C08">
        <w:rPr>
          <w:rFonts w:ascii="Cambria" w:hAnsi="Cambria" w:cs="Times New Roman"/>
          <w:color w:val="auto"/>
          <w:szCs w:val="18"/>
        </w:rPr>
        <w:t>ntroduced major changes to the Russian secur</w:t>
      </w:r>
      <w:r w:rsidR="006C1C08">
        <w:rPr>
          <w:rFonts w:ascii="Cambria" w:hAnsi="Cambria" w:cs="Times New Roman"/>
          <w:color w:val="auto"/>
          <w:szCs w:val="18"/>
        </w:rPr>
        <w:t xml:space="preserve">ities law that </w:t>
      </w:r>
      <w:r w:rsidR="00B0131F">
        <w:rPr>
          <w:rFonts w:ascii="Cambria" w:hAnsi="Cambria" w:cs="Times New Roman"/>
          <w:color w:val="auto"/>
          <w:szCs w:val="18"/>
        </w:rPr>
        <w:t xml:space="preserve">had </w:t>
      </w:r>
      <w:r w:rsidR="006C1C08">
        <w:rPr>
          <w:rFonts w:ascii="Cambria" w:hAnsi="Cambria" w:cs="Times New Roman"/>
          <w:color w:val="auto"/>
          <w:szCs w:val="18"/>
        </w:rPr>
        <w:t>a</w:t>
      </w:r>
      <w:r w:rsidR="006C1C08" w:rsidRPr="006C1C08">
        <w:rPr>
          <w:rFonts w:ascii="Cambria" w:hAnsi="Cambria" w:cs="Times New Roman"/>
          <w:color w:val="auto"/>
          <w:szCs w:val="18"/>
        </w:rPr>
        <w:t xml:space="preserve"> significant </w:t>
      </w:r>
      <w:r w:rsidR="006C1C08">
        <w:rPr>
          <w:rFonts w:ascii="Cambria" w:hAnsi="Cambria" w:cs="Times New Roman"/>
          <w:color w:val="auto"/>
          <w:szCs w:val="18"/>
        </w:rPr>
        <w:t xml:space="preserve">impact </w:t>
      </w:r>
      <w:r w:rsidR="008C0F1F">
        <w:rPr>
          <w:rFonts w:ascii="Cambria" w:hAnsi="Cambria" w:cs="Times New Roman"/>
          <w:color w:val="auto"/>
          <w:szCs w:val="18"/>
        </w:rPr>
        <w:t xml:space="preserve">on </w:t>
      </w:r>
      <w:r w:rsidR="006C1C08">
        <w:rPr>
          <w:rFonts w:ascii="Cambria" w:hAnsi="Cambria" w:cs="Times New Roman"/>
          <w:color w:val="auto"/>
          <w:szCs w:val="18"/>
        </w:rPr>
        <w:t>DR</w:t>
      </w:r>
      <w:r w:rsidR="006C1C08" w:rsidRPr="006C1C08">
        <w:rPr>
          <w:rFonts w:ascii="Cambria" w:hAnsi="Cambria" w:cs="Times New Roman"/>
          <w:color w:val="auto"/>
          <w:szCs w:val="18"/>
        </w:rPr>
        <w:t xml:space="preserve"> programs. </w:t>
      </w:r>
      <w:r w:rsidR="00B0131F">
        <w:rPr>
          <w:rFonts w:ascii="Cambria" w:hAnsi="Cambria" w:cs="Times New Roman"/>
          <w:color w:val="auto"/>
          <w:szCs w:val="18"/>
        </w:rPr>
        <w:t xml:space="preserve"> </w:t>
      </w:r>
      <w:r w:rsidR="006C1C08">
        <w:rPr>
          <w:rFonts w:ascii="Cambria" w:hAnsi="Cambria"/>
          <w:color w:val="auto"/>
        </w:rPr>
        <w:t xml:space="preserve">Starting </w:t>
      </w:r>
      <w:r w:rsidR="006C1C08" w:rsidRPr="006C1C08">
        <w:rPr>
          <w:rFonts w:ascii="Cambria" w:hAnsi="Cambria"/>
          <w:color w:val="auto"/>
        </w:rPr>
        <w:t>January 1, 2013</w:t>
      </w:r>
      <w:r w:rsidR="00F86720" w:rsidRPr="006C1C08">
        <w:rPr>
          <w:rFonts w:ascii="Cambria" w:hAnsi="Cambria"/>
          <w:color w:val="auto"/>
        </w:rPr>
        <w:t xml:space="preserve">, </w:t>
      </w:r>
      <w:r w:rsidR="00F86720">
        <w:rPr>
          <w:rFonts w:ascii="Cambria" w:hAnsi="Cambria"/>
          <w:color w:val="auto"/>
        </w:rPr>
        <w:t>a</w:t>
      </w:r>
      <w:r w:rsidR="006C1C08" w:rsidRPr="006C1C08">
        <w:rPr>
          <w:rFonts w:ascii="Cambria" w:hAnsi="Cambria"/>
          <w:color w:val="auto"/>
        </w:rPr>
        <w:t xml:space="preserve"> depositary bank </w:t>
      </w:r>
      <w:r w:rsidR="00B0131F">
        <w:rPr>
          <w:rFonts w:ascii="Cambria" w:hAnsi="Cambria"/>
          <w:color w:val="auto"/>
        </w:rPr>
        <w:t>was required to</w:t>
      </w:r>
      <w:r w:rsidR="00B0131F" w:rsidRPr="006C1C08">
        <w:rPr>
          <w:rFonts w:ascii="Cambria" w:hAnsi="Cambria"/>
          <w:color w:val="auto"/>
        </w:rPr>
        <w:t xml:space="preserve"> </w:t>
      </w:r>
      <w:r w:rsidR="006C1C08" w:rsidRPr="006C1C08">
        <w:rPr>
          <w:rFonts w:ascii="Cambria" w:hAnsi="Cambria"/>
          <w:color w:val="auto"/>
        </w:rPr>
        <w:t>custodize the underlying Russian shares of its Russian programs in a “DR Program Depo Account</w:t>
      </w:r>
      <w:r w:rsidR="00B0131F">
        <w:rPr>
          <w:rFonts w:ascii="Cambria" w:hAnsi="Cambria"/>
          <w:color w:val="auto"/>
        </w:rPr>
        <w:t>.</w:t>
      </w:r>
      <w:r w:rsidR="006C1C08" w:rsidRPr="006C1C08">
        <w:rPr>
          <w:rFonts w:ascii="Cambria" w:hAnsi="Cambria"/>
          <w:color w:val="auto"/>
        </w:rPr>
        <w:t>”</w:t>
      </w:r>
      <w:r w:rsidR="006C1C08">
        <w:rPr>
          <w:rFonts w:ascii="Cambria" w:hAnsi="Cambria"/>
          <w:color w:val="auto"/>
        </w:rPr>
        <w:t xml:space="preserve"> </w:t>
      </w:r>
      <w:r w:rsidR="006C1C08" w:rsidRPr="006C1C08">
        <w:rPr>
          <w:rFonts w:ascii="Cambria" w:hAnsi="Cambria"/>
          <w:color w:val="auto"/>
        </w:rPr>
        <w:t xml:space="preserve">A </w:t>
      </w:r>
      <w:r w:rsidR="006C1C08">
        <w:rPr>
          <w:rFonts w:ascii="Cambria" w:hAnsi="Cambria"/>
          <w:color w:val="auto"/>
        </w:rPr>
        <w:t xml:space="preserve">depositary bank must open a </w:t>
      </w:r>
      <w:r w:rsidR="006C1C08" w:rsidRPr="006C1C08">
        <w:rPr>
          <w:rFonts w:ascii="Cambria" w:hAnsi="Cambria"/>
          <w:color w:val="auto"/>
        </w:rPr>
        <w:t>DR Program Depo Account</w:t>
      </w:r>
      <w:r w:rsidR="006C1C08">
        <w:rPr>
          <w:rFonts w:ascii="Cambria" w:hAnsi="Cambria"/>
          <w:color w:val="auto"/>
        </w:rPr>
        <w:t xml:space="preserve"> </w:t>
      </w:r>
      <w:r w:rsidR="006C1C08" w:rsidRPr="006C1C08">
        <w:rPr>
          <w:rFonts w:ascii="Cambria" w:hAnsi="Cambria"/>
          <w:color w:val="auto"/>
        </w:rPr>
        <w:t xml:space="preserve">with a Russian custodian that in turn holds a </w:t>
      </w:r>
      <w:r>
        <w:rPr>
          <w:rFonts w:ascii="Cambria" w:hAnsi="Cambria"/>
          <w:color w:val="auto"/>
        </w:rPr>
        <w:t>nominee account in the new Central Securities D</w:t>
      </w:r>
      <w:r w:rsidRPr="000E277D">
        <w:rPr>
          <w:rFonts w:ascii="Cambria" w:hAnsi="Cambria"/>
          <w:color w:val="auto"/>
        </w:rPr>
        <w:t>epository</w:t>
      </w:r>
      <w:r>
        <w:rPr>
          <w:rFonts w:ascii="Cambria" w:hAnsi="Cambria"/>
          <w:color w:val="auto"/>
        </w:rPr>
        <w:t xml:space="preserve"> (CSD)</w:t>
      </w:r>
      <w:r w:rsidR="006C1C08">
        <w:rPr>
          <w:rFonts w:ascii="Cambria" w:hAnsi="Cambria"/>
          <w:color w:val="auto"/>
        </w:rPr>
        <w:t xml:space="preserve">. </w:t>
      </w:r>
      <w:r w:rsidR="00301087">
        <w:rPr>
          <w:rFonts w:ascii="Cambria" w:hAnsi="Cambria" w:cs="Times New Roman"/>
          <w:color w:val="auto"/>
          <w:szCs w:val="18"/>
        </w:rPr>
        <w:t xml:space="preserve"> In light of the new law, </w:t>
      </w:r>
      <w:r w:rsidR="00B0131F">
        <w:rPr>
          <w:rFonts w:ascii="Cambria" w:hAnsi="Cambria"/>
          <w:color w:val="auto"/>
        </w:rPr>
        <w:t>d</w:t>
      </w:r>
      <w:r w:rsidR="006C1C08" w:rsidRPr="006C1C08">
        <w:rPr>
          <w:rFonts w:ascii="Cambria" w:hAnsi="Cambria"/>
          <w:color w:val="auto"/>
        </w:rPr>
        <w:t xml:space="preserve">epositary banks </w:t>
      </w:r>
      <w:r w:rsidR="00BD2235">
        <w:rPr>
          <w:rFonts w:ascii="Cambria" w:hAnsi="Cambria"/>
          <w:color w:val="auto"/>
        </w:rPr>
        <w:t>must</w:t>
      </w:r>
      <w:r w:rsidR="006C1C08">
        <w:rPr>
          <w:rFonts w:ascii="Cambria" w:hAnsi="Cambria"/>
          <w:color w:val="auto"/>
        </w:rPr>
        <w:t xml:space="preserve"> establish </w:t>
      </w:r>
      <w:r w:rsidR="006C1C08" w:rsidRPr="006C1C08">
        <w:rPr>
          <w:rFonts w:ascii="Cambria" w:hAnsi="Cambria"/>
          <w:color w:val="auto"/>
        </w:rPr>
        <w:t>a DR Program Depo Account and move the shares underlyin</w:t>
      </w:r>
      <w:r w:rsidR="006C1C08">
        <w:rPr>
          <w:rFonts w:ascii="Cambria" w:hAnsi="Cambria"/>
          <w:color w:val="auto"/>
        </w:rPr>
        <w:t xml:space="preserve">g </w:t>
      </w:r>
      <w:r w:rsidR="00B0131F">
        <w:rPr>
          <w:rFonts w:ascii="Cambria" w:hAnsi="Cambria"/>
          <w:color w:val="auto"/>
        </w:rPr>
        <w:t xml:space="preserve">its </w:t>
      </w:r>
      <w:r w:rsidR="006C1C08">
        <w:rPr>
          <w:rFonts w:ascii="Cambria" w:hAnsi="Cambria"/>
          <w:color w:val="auto"/>
        </w:rPr>
        <w:t xml:space="preserve">DRs within one year </w:t>
      </w:r>
      <w:r w:rsidR="006C1C08" w:rsidRPr="006C1C08">
        <w:rPr>
          <w:rFonts w:ascii="Cambria" w:hAnsi="Cambria"/>
          <w:color w:val="auto"/>
        </w:rPr>
        <w:t xml:space="preserve">of </w:t>
      </w:r>
      <w:r w:rsidR="006C1C08">
        <w:rPr>
          <w:rFonts w:ascii="Cambria" w:hAnsi="Cambria"/>
          <w:color w:val="auto"/>
        </w:rPr>
        <w:t>establish</w:t>
      </w:r>
      <w:r w:rsidR="00BD2235">
        <w:rPr>
          <w:rFonts w:ascii="Cambria" w:hAnsi="Cambria"/>
          <w:color w:val="auto"/>
        </w:rPr>
        <w:t>ing</w:t>
      </w:r>
      <w:r w:rsidR="006C1C08">
        <w:rPr>
          <w:rFonts w:ascii="Cambria" w:hAnsi="Cambria"/>
          <w:color w:val="auto"/>
        </w:rPr>
        <w:t xml:space="preserve"> </w:t>
      </w:r>
      <w:r w:rsidR="00BD2235">
        <w:rPr>
          <w:rFonts w:ascii="Cambria" w:hAnsi="Cambria"/>
          <w:color w:val="auto"/>
        </w:rPr>
        <w:t xml:space="preserve">a </w:t>
      </w:r>
      <w:r w:rsidR="006C1C08" w:rsidRPr="006C1C08">
        <w:rPr>
          <w:rFonts w:ascii="Cambria" w:hAnsi="Cambria"/>
          <w:color w:val="auto"/>
        </w:rPr>
        <w:t>N</w:t>
      </w:r>
      <w:r w:rsidR="006C1C08">
        <w:rPr>
          <w:rFonts w:ascii="Cambria" w:hAnsi="Cambria"/>
          <w:color w:val="auto"/>
        </w:rPr>
        <w:t xml:space="preserve">ational </w:t>
      </w:r>
      <w:r w:rsidR="006C1C08" w:rsidRPr="006C1C08">
        <w:rPr>
          <w:rFonts w:ascii="Cambria" w:hAnsi="Cambria"/>
          <w:color w:val="auto"/>
        </w:rPr>
        <w:t>S</w:t>
      </w:r>
      <w:r w:rsidR="006C1C08">
        <w:rPr>
          <w:rFonts w:ascii="Cambria" w:hAnsi="Cambria"/>
          <w:color w:val="auto"/>
        </w:rPr>
        <w:t xml:space="preserve">ettlement </w:t>
      </w:r>
      <w:r w:rsidR="006C1C08" w:rsidRPr="006C1C08">
        <w:rPr>
          <w:rFonts w:ascii="Cambria" w:hAnsi="Cambria"/>
          <w:color w:val="auto"/>
        </w:rPr>
        <w:t>D</w:t>
      </w:r>
      <w:r w:rsidR="00EB2A30">
        <w:rPr>
          <w:rFonts w:ascii="Cambria" w:hAnsi="Cambria"/>
          <w:color w:val="auto"/>
        </w:rPr>
        <w:t>e</w:t>
      </w:r>
      <w:r w:rsidR="006C1C08">
        <w:rPr>
          <w:rFonts w:ascii="Cambria" w:hAnsi="Cambria"/>
          <w:color w:val="auto"/>
        </w:rPr>
        <w:t>positary (“NSD”)</w:t>
      </w:r>
      <w:r w:rsidR="006C1C08" w:rsidRPr="006C1C08">
        <w:rPr>
          <w:rFonts w:ascii="Cambria" w:hAnsi="Cambria"/>
          <w:color w:val="auto"/>
        </w:rPr>
        <w:t xml:space="preserve"> as the CSD (i.e.</w:t>
      </w:r>
      <w:r w:rsidR="00B0131F">
        <w:rPr>
          <w:rFonts w:ascii="Cambria" w:hAnsi="Cambria"/>
          <w:color w:val="auto"/>
        </w:rPr>
        <w:t>,</w:t>
      </w:r>
      <w:r w:rsidR="006C1C08" w:rsidRPr="006C1C08">
        <w:rPr>
          <w:rFonts w:ascii="Cambria" w:hAnsi="Cambria"/>
          <w:color w:val="auto"/>
        </w:rPr>
        <w:t xml:space="preserve"> not later than November 6, 2013).</w:t>
      </w:r>
      <w:r w:rsidR="00BD2235">
        <w:rPr>
          <w:rFonts w:ascii="Cambria" w:hAnsi="Cambria"/>
          <w:color w:val="auto"/>
        </w:rPr>
        <w:t xml:space="preserve"> </w:t>
      </w:r>
      <w:r w:rsidR="00BD2235" w:rsidRPr="00C518AF">
        <w:rPr>
          <w:rFonts w:ascii="Cambria" w:hAnsi="Cambria"/>
          <w:color w:val="FF0000"/>
        </w:rPr>
        <w:t>[November 6, 2013 has passed.  Does this need to be revised?  Has NN already established a Depo account?  --WW ]</w:t>
      </w:r>
    </w:p>
    <w:p w14:paraId="052B7500" w14:textId="77777777" w:rsidR="00301087" w:rsidRDefault="00301087" w:rsidP="00301087">
      <w:pPr>
        <w:spacing w:before="0" w:after="0"/>
        <w:jc w:val="both"/>
        <w:rPr>
          <w:rFonts w:ascii="Cambria" w:hAnsi="Cambria" w:cs="Times New Roman"/>
          <w:color w:val="auto"/>
          <w:szCs w:val="18"/>
        </w:rPr>
      </w:pPr>
    </w:p>
    <w:p w14:paraId="6FE3377C" w14:textId="038BD846" w:rsidR="00557F87" w:rsidRPr="00301087" w:rsidRDefault="00557F87" w:rsidP="00301087">
      <w:pPr>
        <w:spacing w:before="0" w:after="0"/>
        <w:jc w:val="both"/>
        <w:rPr>
          <w:rFonts w:ascii="Cambria" w:hAnsi="Cambria" w:cs="Times New Roman"/>
          <w:color w:val="auto"/>
          <w:szCs w:val="18"/>
        </w:rPr>
      </w:pPr>
      <w:r>
        <w:rPr>
          <w:rFonts w:ascii="Cambria" w:hAnsi="Cambria"/>
          <w:color w:val="auto"/>
        </w:rPr>
        <w:t>On</w:t>
      </w:r>
      <w:r w:rsidR="00C41978" w:rsidRPr="007069CE">
        <w:rPr>
          <w:rFonts w:ascii="Cambria" w:hAnsi="Cambria"/>
          <w:color w:val="auto"/>
        </w:rPr>
        <w:t xml:space="preserve"> January 1, 2014, a new “cascade” dividend payme</w:t>
      </w:r>
      <w:r w:rsidR="007069CE">
        <w:rPr>
          <w:rFonts w:ascii="Cambria" w:hAnsi="Cambria"/>
          <w:color w:val="auto"/>
        </w:rPr>
        <w:t xml:space="preserve">nt mechanism </w:t>
      </w:r>
      <w:r>
        <w:rPr>
          <w:rFonts w:ascii="Cambria" w:hAnsi="Cambria"/>
          <w:color w:val="auto"/>
        </w:rPr>
        <w:t>was</w:t>
      </w:r>
      <w:r w:rsidR="007069CE">
        <w:rPr>
          <w:rFonts w:ascii="Cambria" w:hAnsi="Cambria"/>
          <w:color w:val="auto"/>
        </w:rPr>
        <w:t xml:space="preserve"> introduced </w:t>
      </w:r>
      <w:r>
        <w:rPr>
          <w:rFonts w:ascii="Cambria" w:hAnsi="Cambria"/>
          <w:color w:val="auto"/>
        </w:rPr>
        <w:t xml:space="preserve">to </w:t>
      </w:r>
      <w:r w:rsidR="007069CE">
        <w:rPr>
          <w:rFonts w:ascii="Cambria" w:hAnsi="Cambria"/>
          <w:color w:val="auto"/>
        </w:rPr>
        <w:t>the market</w:t>
      </w:r>
      <w:r>
        <w:rPr>
          <w:rFonts w:ascii="Cambria" w:hAnsi="Cambria"/>
          <w:color w:val="auto"/>
        </w:rPr>
        <w:t xml:space="preserve"> so</w:t>
      </w:r>
      <w:r w:rsidR="00C41978" w:rsidRPr="007069CE">
        <w:rPr>
          <w:rFonts w:ascii="Cambria" w:hAnsi="Cambria"/>
          <w:color w:val="auto"/>
        </w:rPr>
        <w:t xml:space="preserve"> Russian issuers</w:t>
      </w:r>
      <w:r w:rsidR="007069CE">
        <w:rPr>
          <w:rFonts w:ascii="Cambria" w:hAnsi="Cambria"/>
          <w:color w:val="auto"/>
        </w:rPr>
        <w:t xml:space="preserve"> </w:t>
      </w:r>
      <w:r>
        <w:rPr>
          <w:rFonts w:ascii="Cambria" w:hAnsi="Cambria"/>
          <w:color w:val="auto"/>
        </w:rPr>
        <w:t>can</w:t>
      </w:r>
      <w:r w:rsidR="007069CE">
        <w:rPr>
          <w:rFonts w:ascii="Cambria" w:hAnsi="Cambria"/>
          <w:color w:val="auto"/>
        </w:rPr>
        <w:t xml:space="preserve"> </w:t>
      </w:r>
      <w:r w:rsidR="00C41978" w:rsidRPr="007069CE">
        <w:rPr>
          <w:rFonts w:ascii="Cambria" w:hAnsi="Cambria"/>
          <w:color w:val="auto"/>
        </w:rPr>
        <w:t>pay dividends to custodians and depositary banks, wh</w:t>
      </w:r>
      <w:r>
        <w:rPr>
          <w:rFonts w:ascii="Cambria" w:hAnsi="Cambria"/>
          <w:color w:val="auto"/>
        </w:rPr>
        <w:t>ich</w:t>
      </w:r>
      <w:r w:rsidR="00C41978" w:rsidRPr="007069CE">
        <w:rPr>
          <w:rFonts w:ascii="Cambria" w:hAnsi="Cambria"/>
          <w:color w:val="auto"/>
        </w:rPr>
        <w:t xml:space="preserve"> in turn </w:t>
      </w:r>
      <w:r>
        <w:rPr>
          <w:rFonts w:ascii="Cambria" w:hAnsi="Cambria"/>
          <w:color w:val="auto"/>
        </w:rPr>
        <w:t>must</w:t>
      </w:r>
      <w:r w:rsidR="00C41978" w:rsidRPr="007069CE">
        <w:rPr>
          <w:rFonts w:ascii="Cambria" w:hAnsi="Cambria"/>
          <w:color w:val="auto"/>
        </w:rPr>
        <w:t xml:space="preserve"> transfer dividends</w:t>
      </w:r>
      <w:r w:rsidR="007069CE">
        <w:rPr>
          <w:rFonts w:ascii="Cambria" w:hAnsi="Cambria"/>
          <w:color w:val="auto"/>
        </w:rPr>
        <w:t xml:space="preserve"> to underlying beneficial owners (“UBO</w:t>
      </w:r>
      <w:r>
        <w:rPr>
          <w:rFonts w:ascii="Cambria" w:hAnsi="Cambria"/>
          <w:color w:val="auto"/>
        </w:rPr>
        <w:t>s</w:t>
      </w:r>
      <w:r w:rsidR="007069CE">
        <w:rPr>
          <w:rFonts w:ascii="Cambria" w:hAnsi="Cambria"/>
          <w:color w:val="auto"/>
        </w:rPr>
        <w:t xml:space="preserve">”). </w:t>
      </w:r>
      <w:r>
        <w:rPr>
          <w:rFonts w:ascii="Cambria" w:hAnsi="Cambria"/>
          <w:color w:val="auto"/>
        </w:rPr>
        <w:t xml:space="preserve"> </w:t>
      </w:r>
      <w:r w:rsidR="007069CE">
        <w:rPr>
          <w:rFonts w:ascii="Cambria" w:hAnsi="Cambria"/>
          <w:color w:val="auto"/>
        </w:rPr>
        <w:t>Based on this new law</w:t>
      </w:r>
      <w:r>
        <w:rPr>
          <w:rFonts w:ascii="Cambria" w:hAnsi="Cambria"/>
          <w:color w:val="auto"/>
        </w:rPr>
        <w:t>,</w:t>
      </w:r>
      <w:r w:rsidR="00C41978" w:rsidRPr="007069CE">
        <w:rPr>
          <w:rFonts w:ascii="Cambria" w:hAnsi="Cambria"/>
          <w:color w:val="auto"/>
        </w:rPr>
        <w:t xml:space="preserve"> </w:t>
      </w:r>
      <w:r>
        <w:rPr>
          <w:rFonts w:ascii="Cambria" w:hAnsi="Cambria"/>
          <w:color w:val="auto"/>
        </w:rPr>
        <w:t xml:space="preserve">UBOs will not be required to make </w:t>
      </w:r>
      <w:r w:rsidR="00C41978" w:rsidRPr="007069CE">
        <w:rPr>
          <w:rFonts w:ascii="Cambria" w:hAnsi="Cambria"/>
          <w:color w:val="auto"/>
        </w:rPr>
        <w:t>disclosure</w:t>
      </w:r>
      <w:r>
        <w:rPr>
          <w:rFonts w:ascii="Cambria" w:hAnsi="Cambria"/>
          <w:color w:val="auto"/>
        </w:rPr>
        <w:t>s</w:t>
      </w:r>
      <w:r w:rsidR="00C41978" w:rsidRPr="007069CE">
        <w:rPr>
          <w:rFonts w:ascii="Cambria" w:hAnsi="Cambria"/>
          <w:color w:val="auto"/>
        </w:rPr>
        <w:t xml:space="preserve"> to receive dividends. </w:t>
      </w:r>
      <w:r>
        <w:rPr>
          <w:rFonts w:ascii="Cambria" w:hAnsi="Cambria"/>
          <w:color w:val="auto"/>
        </w:rPr>
        <w:t xml:space="preserve">  However, </w:t>
      </w:r>
      <w:r w:rsidR="00C41978" w:rsidRPr="007069CE">
        <w:rPr>
          <w:rFonts w:ascii="Cambria" w:hAnsi="Cambria"/>
          <w:color w:val="auto"/>
        </w:rPr>
        <w:t>UBO</w:t>
      </w:r>
      <w:r>
        <w:rPr>
          <w:rFonts w:ascii="Cambria" w:hAnsi="Cambria"/>
          <w:color w:val="auto"/>
        </w:rPr>
        <w:t xml:space="preserve">s must make </w:t>
      </w:r>
      <w:r w:rsidR="004229EE">
        <w:rPr>
          <w:rFonts w:ascii="Cambria" w:hAnsi="Cambria"/>
          <w:color w:val="auto"/>
        </w:rPr>
        <w:t xml:space="preserve">their </w:t>
      </w:r>
      <w:r w:rsidR="004229EE" w:rsidRPr="007069CE">
        <w:rPr>
          <w:rFonts w:ascii="Cambria" w:hAnsi="Cambria"/>
          <w:color w:val="auto"/>
        </w:rPr>
        <w:t>disclosures</w:t>
      </w:r>
      <w:r w:rsidR="00C41978" w:rsidRPr="007069CE">
        <w:rPr>
          <w:rFonts w:ascii="Cambria" w:hAnsi="Cambria"/>
          <w:color w:val="auto"/>
        </w:rPr>
        <w:t xml:space="preserve"> to vote at a shareholders’ meeting.</w:t>
      </w:r>
    </w:p>
    <w:p w14:paraId="1A746505" w14:textId="77777777" w:rsidR="00E656A1" w:rsidRDefault="00E656A1" w:rsidP="00C518AF">
      <w:pPr>
        <w:spacing w:before="0" w:after="0"/>
        <w:jc w:val="both"/>
        <w:rPr>
          <w:rFonts w:ascii="Cambria" w:hAnsi="Cambria"/>
          <w:color w:val="auto"/>
        </w:rPr>
      </w:pPr>
    </w:p>
    <w:p w14:paraId="6E653DD1" w14:textId="1287E363" w:rsidR="006C1C08" w:rsidRPr="00C518AF" w:rsidRDefault="00C41978" w:rsidP="00DC4B97">
      <w:pPr>
        <w:jc w:val="both"/>
        <w:rPr>
          <w:rFonts w:ascii="Cambria" w:hAnsi="Cambria"/>
          <w:color w:val="FF0000"/>
        </w:rPr>
      </w:pPr>
      <w:r w:rsidRPr="007069CE">
        <w:rPr>
          <w:rFonts w:ascii="Cambria" w:hAnsi="Cambria"/>
          <w:color w:val="auto"/>
        </w:rPr>
        <w:t>We</w:t>
      </w:r>
      <w:r w:rsidR="00944705">
        <w:rPr>
          <w:rFonts w:ascii="Cambria" w:hAnsi="Cambria"/>
          <w:color w:val="auto"/>
        </w:rPr>
        <w:t xml:space="preserve"> believe </w:t>
      </w:r>
      <w:r w:rsidRPr="007069CE">
        <w:rPr>
          <w:rFonts w:ascii="Cambria" w:hAnsi="Cambria"/>
          <w:color w:val="auto"/>
        </w:rPr>
        <w:t>there will be a short timeframe between the opening of the DR Program Depo Account and January 1, 2014</w:t>
      </w:r>
      <w:r w:rsidR="00944705">
        <w:rPr>
          <w:rFonts w:ascii="Cambria" w:hAnsi="Cambria"/>
          <w:color w:val="auto"/>
        </w:rPr>
        <w:t>,</w:t>
      </w:r>
      <w:r w:rsidRPr="007069CE">
        <w:rPr>
          <w:rFonts w:ascii="Cambria" w:hAnsi="Cambria"/>
          <w:color w:val="auto"/>
        </w:rPr>
        <w:t xml:space="preserve"> when compulsory UBO disclosure requirements for both dividend payments and voting will apply in accordance with the Federal Law 415-FZ.</w:t>
      </w:r>
      <w:r w:rsidR="00557F87">
        <w:rPr>
          <w:rFonts w:ascii="Cambria" w:hAnsi="Cambria"/>
          <w:color w:val="auto"/>
        </w:rPr>
        <w:t xml:space="preserve">  </w:t>
      </w:r>
      <w:r w:rsidR="00557F87" w:rsidRPr="00C518AF">
        <w:rPr>
          <w:rFonts w:ascii="Cambria" w:hAnsi="Cambria"/>
          <w:color w:val="FF0000"/>
        </w:rPr>
        <w:t xml:space="preserve">[Is this last </w:t>
      </w:r>
      <w:r w:rsidR="00D66361">
        <w:rPr>
          <w:rFonts w:ascii="Cambria" w:hAnsi="Cambria"/>
          <w:color w:val="FF0000"/>
        </w:rPr>
        <w:t>sentence</w:t>
      </w:r>
      <w:r w:rsidR="00557F87" w:rsidRPr="00C518AF">
        <w:rPr>
          <w:rFonts w:ascii="Cambria" w:hAnsi="Cambria"/>
          <w:color w:val="FF0000"/>
        </w:rPr>
        <w:t xml:space="preserve"> necessary, since January 1, 2014</w:t>
      </w:r>
      <w:r w:rsidR="00D66361">
        <w:rPr>
          <w:rFonts w:ascii="Cambria" w:hAnsi="Cambria"/>
          <w:color w:val="FF0000"/>
        </w:rPr>
        <w:t xml:space="preserve"> has passed</w:t>
      </w:r>
      <w:r w:rsidR="00D66361" w:rsidRPr="00C518AF">
        <w:rPr>
          <w:rFonts w:ascii="Cambria" w:hAnsi="Cambria"/>
          <w:color w:val="FF0000"/>
        </w:rPr>
        <w:t xml:space="preserve">?  Or is there a nuance to this new securities law that I’m not grasping?  </w:t>
      </w:r>
      <w:r w:rsidR="00D66361">
        <w:rPr>
          <w:rFonts w:ascii="Cambria" w:hAnsi="Cambria"/>
          <w:color w:val="FF0000"/>
        </w:rPr>
        <w:t xml:space="preserve">Should the sentence be rewritten? </w:t>
      </w:r>
      <w:r w:rsidR="00D66361" w:rsidRPr="00C518AF">
        <w:rPr>
          <w:rFonts w:ascii="Cambria" w:hAnsi="Cambria"/>
          <w:color w:val="FF0000"/>
        </w:rPr>
        <w:t>-- WW]</w:t>
      </w:r>
    </w:p>
    <w:p w14:paraId="3D0178A8" w14:textId="77777777" w:rsidR="00EB7103" w:rsidRDefault="00EB7103" w:rsidP="00EB7103">
      <w:pPr>
        <w:rPr>
          <w:rFonts w:ascii="Cambria" w:hAnsi="Cambria"/>
          <w:color w:val="FF0000"/>
          <w:sz w:val="36"/>
        </w:rPr>
      </w:pPr>
    </w:p>
    <w:p w14:paraId="7C7E9713" w14:textId="77777777" w:rsidR="00411285" w:rsidRDefault="00EC1426" w:rsidP="004355D2">
      <w:pPr>
        <w:rPr>
          <w:rFonts w:ascii="Cambria" w:hAnsi="Cambria"/>
          <w:color w:val="FF0000"/>
          <w:sz w:val="36"/>
        </w:rPr>
      </w:pPr>
      <w:r w:rsidRPr="00EC1426">
        <w:rPr>
          <w:rFonts w:ascii="Cambria" w:hAnsi="Cambria"/>
          <w:noProof/>
          <w:color w:val="FF0000"/>
          <w:sz w:val="36"/>
        </w:rPr>
        <w:lastRenderedPageBreak/>
        <w:drawing>
          <wp:inline distT="0" distB="0" distL="0" distR="0" wp14:anchorId="6F545D61" wp14:editId="128F48A1">
            <wp:extent cx="6261100" cy="41148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319" cy="411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76B023" w14:textId="77777777" w:rsidR="009C0193" w:rsidRDefault="009C0193" w:rsidP="004355D2">
      <w:pPr>
        <w:rPr>
          <w:rFonts w:ascii="Cambria" w:hAnsi="Cambria"/>
          <w:color w:val="FF0000"/>
          <w:sz w:val="36"/>
        </w:rPr>
      </w:pPr>
    </w:p>
    <w:p w14:paraId="274FE87D" w14:textId="77777777" w:rsidR="004355D2" w:rsidRPr="004355D2" w:rsidRDefault="00EB7103" w:rsidP="004355D2">
      <w:pPr>
        <w:rPr>
          <w:rFonts w:ascii="Cambria" w:hAnsi="Cambria"/>
          <w:color w:val="FF0000"/>
          <w:sz w:val="36"/>
        </w:rPr>
      </w:pPr>
      <w:r>
        <w:rPr>
          <w:rFonts w:ascii="Cambria" w:hAnsi="Cambria"/>
          <w:color w:val="FF0000"/>
          <w:sz w:val="36"/>
        </w:rPr>
        <w:t>Overview of Depositary Banks</w:t>
      </w:r>
    </w:p>
    <w:p w14:paraId="1DACF5B2" w14:textId="77777777" w:rsidR="00D32560" w:rsidRPr="00C518AF" w:rsidRDefault="00D32560" w:rsidP="00A3777B">
      <w:pPr>
        <w:jc w:val="both"/>
        <w:rPr>
          <w:rFonts w:ascii="Cambria" w:hAnsi="Cambria"/>
          <w:b/>
          <w:color w:val="auto"/>
        </w:rPr>
      </w:pPr>
      <w:r w:rsidRPr="00C518AF">
        <w:rPr>
          <w:rFonts w:ascii="Cambria" w:hAnsi="Cambria"/>
          <w:b/>
          <w:color w:val="auto"/>
        </w:rPr>
        <w:t xml:space="preserve">The </w:t>
      </w:r>
      <w:r w:rsidR="004355D2" w:rsidRPr="00C518AF">
        <w:rPr>
          <w:rFonts w:ascii="Cambria" w:hAnsi="Cambria"/>
          <w:b/>
          <w:color w:val="auto"/>
        </w:rPr>
        <w:t xml:space="preserve">Role of </w:t>
      </w:r>
      <w:r w:rsidRPr="00C518AF">
        <w:rPr>
          <w:rFonts w:ascii="Cambria" w:hAnsi="Cambria"/>
          <w:b/>
          <w:color w:val="auto"/>
        </w:rPr>
        <w:t xml:space="preserve">a </w:t>
      </w:r>
      <w:r w:rsidR="004355D2" w:rsidRPr="00C518AF">
        <w:rPr>
          <w:rFonts w:ascii="Cambria" w:hAnsi="Cambria"/>
          <w:b/>
          <w:color w:val="auto"/>
        </w:rPr>
        <w:t>Depositary Bank</w:t>
      </w:r>
    </w:p>
    <w:p w14:paraId="3F96B89C" w14:textId="022B13A0" w:rsidR="004355D2" w:rsidRPr="004355D2" w:rsidRDefault="00D32560" w:rsidP="00A3777B">
      <w:pPr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A depositary bank must:</w:t>
      </w:r>
    </w:p>
    <w:p w14:paraId="1435112A" w14:textId="16003E1A" w:rsidR="004355D2" w:rsidRDefault="004355D2" w:rsidP="00A3777B">
      <w:pPr>
        <w:pStyle w:val="ListParagraph"/>
        <w:numPr>
          <w:ilvl w:val="0"/>
          <w:numId w:val="25"/>
        </w:numPr>
        <w:jc w:val="both"/>
        <w:rPr>
          <w:rFonts w:ascii="Cambria" w:hAnsi="Cambria"/>
          <w:color w:val="auto"/>
        </w:rPr>
      </w:pPr>
      <w:r w:rsidRPr="004355D2">
        <w:rPr>
          <w:rFonts w:ascii="Cambria" w:hAnsi="Cambria"/>
          <w:color w:val="auto"/>
        </w:rPr>
        <w:t xml:space="preserve">Maintain </w:t>
      </w:r>
      <w:r w:rsidR="00D32560">
        <w:rPr>
          <w:rFonts w:ascii="Cambria" w:hAnsi="Cambria"/>
          <w:color w:val="auto"/>
        </w:rPr>
        <w:t xml:space="preserve">a </w:t>
      </w:r>
      <w:r w:rsidRPr="004355D2">
        <w:rPr>
          <w:rFonts w:ascii="Cambria" w:hAnsi="Cambria"/>
          <w:color w:val="auto"/>
        </w:rPr>
        <w:t>register of DR holders</w:t>
      </w:r>
      <w:r w:rsidR="00D32560">
        <w:rPr>
          <w:rFonts w:ascii="Cambria" w:hAnsi="Cambria"/>
          <w:color w:val="auto"/>
        </w:rPr>
        <w:t xml:space="preserve"> so it can c</w:t>
      </w:r>
      <w:r w:rsidRPr="004355D2">
        <w:rPr>
          <w:rFonts w:ascii="Cambria" w:hAnsi="Cambria"/>
          <w:color w:val="auto"/>
        </w:rPr>
        <w:t xml:space="preserve">ommunicate with </w:t>
      </w:r>
      <w:r w:rsidR="0000487A">
        <w:rPr>
          <w:rFonts w:ascii="Cambria" w:hAnsi="Cambria"/>
          <w:color w:val="auto"/>
        </w:rPr>
        <w:t xml:space="preserve">them </w:t>
      </w:r>
      <w:r w:rsidRPr="004355D2">
        <w:rPr>
          <w:rFonts w:ascii="Cambria" w:hAnsi="Cambria"/>
          <w:color w:val="auto"/>
        </w:rPr>
        <w:t xml:space="preserve">about </w:t>
      </w:r>
      <w:r w:rsidR="00D32560">
        <w:rPr>
          <w:rFonts w:ascii="Cambria" w:hAnsi="Cambria"/>
          <w:color w:val="auto"/>
        </w:rPr>
        <w:t xml:space="preserve">the </w:t>
      </w:r>
      <w:r w:rsidRPr="004355D2">
        <w:rPr>
          <w:rFonts w:ascii="Cambria" w:hAnsi="Cambria"/>
          <w:color w:val="auto"/>
        </w:rPr>
        <w:t>DR program registrar and transfer agent</w:t>
      </w:r>
      <w:r w:rsidR="00BB49C9">
        <w:rPr>
          <w:rFonts w:ascii="Cambria" w:hAnsi="Cambria"/>
          <w:color w:val="auto"/>
        </w:rPr>
        <w:t xml:space="preserve">  </w:t>
      </w:r>
    </w:p>
    <w:p w14:paraId="52E03F97" w14:textId="77777777" w:rsidR="004355D2" w:rsidRDefault="004355D2" w:rsidP="00A3777B">
      <w:pPr>
        <w:pStyle w:val="ListParagraph"/>
        <w:numPr>
          <w:ilvl w:val="0"/>
          <w:numId w:val="25"/>
        </w:numPr>
        <w:jc w:val="both"/>
        <w:rPr>
          <w:rFonts w:ascii="Cambria" w:hAnsi="Cambria"/>
          <w:color w:val="auto"/>
        </w:rPr>
      </w:pPr>
      <w:r w:rsidRPr="004355D2">
        <w:rPr>
          <w:rFonts w:ascii="Cambria" w:hAnsi="Cambria"/>
          <w:color w:val="auto"/>
        </w:rPr>
        <w:t>Process corporate actions</w:t>
      </w:r>
    </w:p>
    <w:p w14:paraId="7FF45AB2" w14:textId="5FED5D67" w:rsidR="004355D2" w:rsidRDefault="004355D2" w:rsidP="00A3777B">
      <w:pPr>
        <w:pStyle w:val="ListParagraph"/>
        <w:numPr>
          <w:ilvl w:val="0"/>
          <w:numId w:val="25"/>
        </w:numPr>
        <w:jc w:val="both"/>
        <w:rPr>
          <w:rFonts w:ascii="Cambria" w:hAnsi="Cambria"/>
          <w:color w:val="auto"/>
        </w:rPr>
      </w:pPr>
      <w:r w:rsidRPr="004355D2">
        <w:rPr>
          <w:rFonts w:ascii="Cambria" w:hAnsi="Cambria"/>
          <w:color w:val="auto"/>
        </w:rPr>
        <w:t xml:space="preserve">Act as </w:t>
      </w:r>
      <w:r w:rsidR="005A39BA">
        <w:rPr>
          <w:rFonts w:ascii="Cambria" w:hAnsi="Cambria"/>
          <w:color w:val="auto"/>
        </w:rPr>
        <w:t xml:space="preserve">the </w:t>
      </w:r>
      <w:r w:rsidRPr="004355D2">
        <w:rPr>
          <w:rFonts w:ascii="Cambria" w:hAnsi="Cambria"/>
          <w:color w:val="auto"/>
        </w:rPr>
        <w:t xml:space="preserve">paying agent, processing dividend payments or other entitlements for DR holders </w:t>
      </w:r>
    </w:p>
    <w:p w14:paraId="5C484C82" w14:textId="225B3913" w:rsidR="004355D2" w:rsidRDefault="004355D2" w:rsidP="00A3777B">
      <w:pPr>
        <w:pStyle w:val="ListParagraph"/>
        <w:numPr>
          <w:ilvl w:val="0"/>
          <w:numId w:val="25"/>
        </w:numPr>
        <w:jc w:val="both"/>
        <w:rPr>
          <w:rFonts w:ascii="Cambria" w:hAnsi="Cambria"/>
          <w:color w:val="auto"/>
        </w:rPr>
      </w:pPr>
      <w:r w:rsidRPr="004355D2">
        <w:rPr>
          <w:rFonts w:ascii="Cambria" w:hAnsi="Cambria"/>
          <w:color w:val="auto"/>
        </w:rPr>
        <w:t xml:space="preserve">Provide ongoing account management support to the </w:t>
      </w:r>
      <w:r w:rsidR="006F0695">
        <w:rPr>
          <w:rFonts w:ascii="Cambria" w:hAnsi="Cambria"/>
          <w:color w:val="auto"/>
        </w:rPr>
        <w:t>Issuer</w:t>
      </w:r>
    </w:p>
    <w:p w14:paraId="5CABFC27" w14:textId="60AE1B6D" w:rsidR="004355D2" w:rsidRPr="004355D2" w:rsidRDefault="004355D2" w:rsidP="00A3777B">
      <w:pPr>
        <w:pStyle w:val="ListParagraph"/>
        <w:numPr>
          <w:ilvl w:val="0"/>
          <w:numId w:val="25"/>
        </w:numPr>
        <w:jc w:val="both"/>
        <w:rPr>
          <w:rFonts w:ascii="Cambria" w:hAnsi="Cambria"/>
          <w:color w:val="auto"/>
        </w:rPr>
      </w:pPr>
      <w:r w:rsidRPr="004355D2">
        <w:rPr>
          <w:rFonts w:ascii="Cambria" w:hAnsi="Cambria"/>
          <w:color w:val="auto"/>
        </w:rPr>
        <w:t xml:space="preserve">Offer value-added services in </w:t>
      </w:r>
      <w:r w:rsidR="00456509">
        <w:rPr>
          <w:rFonts w:ascii="Cambria" w:hAnsi="Cambria"/>
          <w:color w:val="auto"/>
        </w:rPr>
        <w:t>investor relations (</w:t>
      </w:r>
      <w:r w:rsidR="00B23617">
        <w:rPr>
          <w:rFonts w:ascii="Cambria" w:hAnsi="Cambria"/>
          <w:color w:val="auto"/>
        </w:rPr>
        <w:t>“</w:t>
      </w:r>
      <w:r w:rsidRPr="004355D2">
        <w:rPr>
          <w:rFonts w:ascii="Cambria" w:hAnsi="Cambria"/>
          <w:color w:val="auto"/>
        </w:rPr>
        <w:t>IR</w:t>
      </w:r>
      <w:r w:rsidR="00B23617">
        <w:rPr>
          <w:rFonts w:ascii="Cambria" w:hAnsi="Cambria"/>
          <w:color w:val="auto"/>
        </w:rPr>
        <w:t>”</w:t>
      </w:r>
      <w:r w:rsidR="00456509">
        <w:rPr>
          <w:rFonts w:ascii="Cambria" w:hAnsi="Cambria"/>
          <w:color w:val="auto"/>
        </w:rPr>
        <w:t>)</w:t>
      </w:r>
      <w:r w:rsidRPr="004355D2">
        <w:rPr>
          <w:rFonts w:ascii="Cambria" w:hAnsi="Cambria"/>
          <w:color w:val="auto"/>
        </w:rPr>
        <w:t xml:space="preserve"> and </w:t>
      </w:r>
      <w:r w:rsidR="00456509">
        <w:rPr>
          <w:rFonts w:ascii="Cambria" w:hAnsi="Cambria"/>
          <w:color w:val="auto"/>
        </w:rPr>
        <w:t>public relations (</w:t>
      </w:r>
      <w:r w:rsidR="00B23617">
        <w:rPr>
          <w:rFonts w:ascii="Cambria" w:hAnsi="Cambria"/>
          <w:color w:val="auto"/>
        </w:rPr>
        <w:t>“</w:t>
      </w:r>
      <w:r w:rsidRPr="004355D2">
        <w:rPr>
          <w:rFonts w:ascii="Cambria" w:hAnsi="Cambria"/>
          <w:color w:val="auto"/>
        </w:rPr>
        <w:t>PR</w:t>
      </w:r>
      <w:r w:rsidR="00B23617">
        <w:rPr>
          <w:rFonts w:ascii="Cambria" w:hAnsi="Cambria"/>
          <w:color w:val="auto"/>
        </w:rPr>
        <w:t>”</w:t>
      </w:r>
      <w:r w:rsidR="00456509">
        <w:rPr>
          <w:rFonts w:ascii="Cambria" w:hAnsi="Cambria"/>
          <w:color w:val="auto"/>
        </w:rPr>
        <w:t>)</w:t>
      </w:r>
      <w:r w:rsidR="00D32560">
        <w:rPr>
          <w:rFonts w:ascii="Cambria" w:hAnsi="Cambria"/>
          <w:color w:val="auto"/>
        </w:rPr>
        <w:t>.</w:t>
      </w:r>
    </w:p>
    <w:p w14:paraId="4CF557B5" w14:textId="4279CB78" w:rsidR="00EE4E3D" w:rsidRPr="00EE4E3D" w:rsidRDefault="00EB7103" w:rsidP="00EE4E3D">
      <w:pPr>
        <w:pStyle w:val="NormalWeb"/>
        <w:spacing w:before="2" w:after="2"/>
        <w:rPr>
          <w:rFonts w:ascii="Times" w:eastAsiaTheme="minorHAnsi" w:hAnsi="Times"/>
          <w:color w:val="auto"/>
          <w:sz w:val="20"/>
          <w:szCs w:val="20"/>
        </w:rPr>
      </w:pPr>
      <w:r w:rsidRPr="00EB7103">
        <w:rPr>
          <w:rFonts w:ascii="Cambria" w:hAnsi="Cambria"/>
          <w:color w:val="auto"/>
        </w:rPr>
        <w:t>The depos</w:t>
      </w:r>
      <w:r>
        <w:rPr>
          <w:rFonts w:ascii="Cambria" w:hAnsi="Cambria"/>
          <w:color w:val="auto"/>
        </w:rPr>
        <w:t xml:space="preserve">itary bank plays </w:t>
      </w:r>
      <w:r w:rsidR="005A39BA">
        <w:rPr>
          <w:rFonts w:ascii="Cambria" w:hAnsi="Cambria"/>
          <w:color w:val="auto"/>
        </w:rPr>
        <w:t xml:space="preserve">an </w:t>
      </w:r>
      <w:r>
        <w:rPr>
          <w:rFonts w:ascii="Cambria" w:hAnsi="Cambria"/>
          <w:color w:val="auto"/>
        </w:rPr>
        <w:t xml:space="preserve">essential role for a company </w:t>
      </w:r>
      <w:r w:rsidRPr="00EB7103">
        <w:rPr>
          <w:rFonts w:ascii="Cambria" w:hAnsi="Cambria"/>
          <w:color w:val="auto"/>
        </w:rPr>
        <w:t xml:space="preserve">that </w:t>
      </w:r>
      <w:r w:rsidR="00EB2A30">
        <w:rPr>
          <w:rFonts w:ascii="Cambria" w:hAnsi="Cambria"/>
          <w:color w:val="auto"/>
        </w:rPr>
        <w:t>wants</w:t>
      </w:r>
      <w:r w:rsidRPr="00EB7103">
        <w:rPr>
          <w:rFonts w:ascii="Cambria" w:hAnsi="Cambria"/>
          <w:color w:val="auto"/>
        </w:rPr>
        <w:t xml:space="preserve"> to expand its capital</w:t>
      </w:r>
      <w:r>
        <w:rPr>
          <w:rFonts w:ascii="Cambria" w:hAnsi="Cambria"/>
          <w:color w:val="auto"/>
        </w:rPr>
        <w:t xml:space="preserve"> </w:t>
      </w:r>
      <w:r w:rsidR="00EE4E3D">
        <w:rPr>
          <w:rFonts w:ascii="Cambria" w:hAnsi="Cambria"/>
          <w:color w:val="auto"/>
        </w:rPr>
        <w:t>market activities outside a</w:t>
      </w:r>
      <w:r>
        <w:rPr>
          <w:rFonts w:ascii="Cambria" w:hAnsi="Cambria"/>
          <w:color w:val="auto"/>
        </w:rPr>
        <w:t xml:space="preserve"> local market</w:t>
      </w:r>
      <w:r w:rsidRPr="00EB7103">
        <w:rPr>
          <w:rFonts w:ascii="Cambria" w:hAnsi="Cambria"/>
          <w:color w:val="auto"/>
        </w:rPr>
        <w:t xml:space="preserve"> and take advantage of all the benefits of depositary receipts. </w:t>
      </w:r>
      <w:r w:rsidR="00EE4E3D">
        <w:rPr>
          <w:rFonts w:ascii="Cambria" w:hAnsi="Cambria"/>
          <w:color w:val="auto"/>
        </w:rPr>
        <w:t xml:space="preserve">Currently, </w:t>
      </w:r>
      <w:r w:rsidR="00EE4E3D">
        <w:rPr>
          <w:rFonts w:ascii="Cambria" w:hAnsi="Cambria"/>
          <w:color w:val="auto"/>
          <w:szCs w:val="16"/>
        </w:rPr>
        <w:t xml:space="preserve">there </w:t>
      </w:r>
      <w:r w:rsidR="00F86720">
        <w:rPr>
          <w:rFonts w:ascii="Cambria" w:hAnsi="Cambria"/>
          <w:color w:val="auto"/>
          <w:szCs w:val="16"/>
        </w:rPr>
        <w:t>are four depositary banks that control the DR market</w:t>
      </w:r>
      <w:r w:rsidR="00456509">
        <w:rPr>
          <w:rFonts w:ascii="Cambria" w:hAnsi="Cambria"/>
          <w:color w:val="auto"/>
          <w:szCs w:val="16"/>
        </w:rPr>
        <w:t>—</w:t>
      </w:r>
      <w:r w:rsidR="00F86720">
        <w:rPr>
          <w:rFonts w:ascii="Cambria" w:hAnsi="Cambria"/>
          <w:color w:val="auto"/>
          <w:szCs w:val="16"/>
        </w:rPr>
        <w:t>BNY Mellon, Deutsch</w:t>
      </w:r>
      <w:r w:rsidR="00EE4E3D">
        <w:rPr>
          <w:rFonts w:ascii="Cambria" w:hAnsi="Cambria"/>
          <w:color w:val="auto"/>
          <w:szCs w:val="16"/>
        </w:rPr>
        <w:t xml:space="preserve">e Bank, JP Morgan and Citibank. </w:t>
      </w:r>
      <w:r w:rsidR="005A39BA">
        <w:rPr>
          <w:rFonts w:ascii="Cambria" w:hAnsi="Cambria"/>
          <w:color w:val="auto"/>
          <w:szCs w:val="16"/>
        </w:rPr>
        <w:t xml:space="preserve"> </w:t>
      </w:r>
      <w:r w:rsidR="00EE4E3D" w:rsidRPr="00EB7103">
        <w:rPr>
          <w:rFonts w:ascii="Cambria" w:hAnsi="Cambria"/>
          <w:color w:val="auto"/>
        </w:rPr>
        <w:t xml:space="preserve">The </w:t>
      </w:r>
      <w:r w:rsidR="00EE4E3D">
        <w:rPr>
          <w:rFonts w:ascii="Cambria" w:hAnsi="Cambria"/>
          <w:color w:val="auto"/>
        </w:rPr>
        <w:t xml:space="preserve">company </w:t>
      </w:r>
      <w:r w:rsidR="00EE4E3D" w:rsidRPr="00EB7103">
        <w:rPr>
          <w:rFonts w:ascii="Cambria" w:hAnsi="Cambria"/>
          <w:color w:val="auto"/>
        </w:rPr>
        <w:t xml:space="preserve">and the depositary enter into a </w:t>
      </w:r>
      <w:r w:rsidR="000E277D" w:rsidRPr="00EB7103">
        <w:rPr>
          <w:rFonts w:ascii="Cambria" w:hAnsi="Cambria"/>
          <w:color w:val="auto"/>
        </w:rPr>
        <w:t>relati</w:t>
      </w:r>
      <w:r w:rsidR="000E277D">
        <w:rPr>
          <w:rFonts w:ascii="Cambria" w:hAnsi="Cambria"/>
          <w:color w:val="auto"/>
        </w:rPr>
        <w:t>onship by</w:t>
      </w:r>
      <w:r w:rsidR="00EE4E3D">
        <w:rPr>
          <w:rFonts w:ascii="Cambria" w:hAnsi="Cambria"/>
          <w:color w:val="auto"/>
        </w:rPr>
        <w:t xml:space="preserve"> signing</w:t>
      </w:r>
      <w:r w:rsidR="005A39BA">
        <w:rPr>
          <w:rFonts w:ascii="Cambria" w:hAnsi="Cambria"/>
          <w:color w:val="auto"/>
        </w:rPr>
        <w:t xml:space="preserve"> 1)</w:t>
      </w:r>
      <w:r w:rsidR="00EE4E3D">
        <w:rPr>
          <w:rFonts w:ascii="Cambria" w:hAnsi="Cambria"/>
          <w:color w:val="auto"/>
        </w:rPr>
        <w:t xml:space="preserve"> a Deposit Agreement </w:t>
      </w:r>
      <w:r w:rsidR="005A39BA">
        <w:rPr>
          <w:rFonts w:ascii="Cambria" w:hAnsi="Cambria"/>
          <w:color w:val="auto"/>
        </w:rPr>
        <w:t xml:space="preserve">that </w:t>
      </w:r>
      <w:r w:rsidR="00EE4E3D">
        <w:rPr>
          <w:rFonts w:ascii="Cambria" w:hAnsi="Cambria"/>
          <w:color w:val="auto"/>
        </w:rPr>
        <w:t xml:space="preserve">sets forth </w:t>
      </w:r>
      <w:r w:rsidR="005A39BA">
        <w:rPr>
          <w:rFonts w:ascii="Cambria" w:hAnsi="Cambria"/>
          <w:color w:val="auto"/>
        </w:rPr>
        <w:t xml:space="preserve">the </w:t>
      </w:r>
      <w:r w:rsidR="00EE4E3D">
        <w:rPr>
          <w:rFonts w:ascii="Cambria" w:hAnsi="Cambria"/>
          <w:color w:val="auto"/>
        </w:rPr>
        <w:t xml:space="preserve">terms and conditions of </w:t>
      </w:r>
      <w:r w:rsidR="005A39BA">
        <w:rPr>
          <w:rFonts w:ascii="Cambria" w:hAnsi="Cambria"/>
          <w:color w:val="auto"/>
        </w:rPr>
        <w:t>d</w:t>
      </w:r>
      <w:r w:rsidR="00EE4E3D">
        <w:rPr>
          <w:rFonts w:ascii="Cambria" w:hAnsi="Cambria"/>
          <w:color w:val="auto"/>
        </w:rPr>
        <w:t xml:space="preserve">epositary </w:t>
      </w:r>
      <w:r w:rsidR="005A39BA">
        <w:rPr>
          <w:rFonts w:ascii="Cambria" w:hAnsi="Cambria"/>
          <w:color w:val="auto"/>
        </w:rPr>
        <w:t>r</w:t>
      </w:r>
      <w:r w:rsidR="00EE4E3D">
        <w:rPr>
          <w:rFonts w:ascii="Cambria" w:hAnsi="Cambria"/>
          <w:color w:val="auto"/>
        </w:rPr>
        <w:t xml:space="preserve">eceipts and </w:t>
      </w:r>
      <w:r w:rsidR="005A39BA">
        <w:rPr>
          <w:rFonts w:ascii="Cambria" w:hAnsi="Cambria"/>
          <w:color w:val="auto"/>
        </w:rPr>
        <w:t xml:space="preserve">by signing 2) an </w:t>
      </w:r>
      <w:r w:rsidR="00EE4E3D">
        <w:rPr>
          <w:rFonts w:ascii="Cambria" w:hAnsi="Cambria"/>
          <w:color w:val="auto"/>
        </w:rPr>
        <w:t xml:space="preserve">Engagement </w:t>
      </w:r>
      <w:r w:rsidR="005A39BA">
        <w:rPr>
          <w:rFonts w:ascii="Cambria" w:hAnsi="Cambria"/>
          <w:color w:val="auto"/>
        </w:rPr>
        <w:t>L</w:t>
      </w:r>
      <w:r w:rsidR="00EE4E3D">
        <w:rPr>
          <w:rFonts w:ascii="Cambria" w:hAnsi="Cambria"/>
          <w:color w:val="auto"/>
        </w:rPr>
        <w:t xml:space="preserve">etter </w:t>
      </w:r>
      <w:r w:rsidR="005A39BA">
        <w:rPr>
          <w:rFonts w:ascii="Cambria" w:hAnsi="Cambria"/>
          <w:color w:val="auto"/>
        </w:rPr>
        <w:t xml:space="preserve">that </w:t>
      </w:r>
      <w:r w:rsidR="00EE4E3D">
        <w:rPr>
          <w:rFonts w:ascii="Cambria" w:hAnsi="Cambria"/>
          <w:color w:val="auto"/>
        </w:rPr>
        <w:t>sets forth a commercial arrangement and other non</w:t>
      </w:r>
      <w:r w:rsidR="005A39BA">
        <w:rPr>
          <w:rFonts w:ascii="Cambria" w:hAnsi="Cambria"/>
          <w:color w:val="auto"/>
        </w:rPr>
        <w:t>-</w:t>
      </w:r>
      <w:r w:rsidR="00EE4E3D">
        <w:rPr>
          <w:rFonts w:ascii="Cambria" w:hAnsi="Cambria"/>
          <w:color w:val="auto"/>
        </w:rPr>
        <w:t xml:space="preserve">financial services </w:t>
      </w:r>
      <w:r w:rsidR="005A39BA">
        <w:rPr>
          <w:rFonts w:ascii="Cambria" w:hAnsi="Cambria"/>
          <w:color w:val="auto"/>
        </w:rPr>
        <w:t xml:space="preserve">offered by </w:t>
      </w:r>
      <w:r w:rsidR="00EE4E3D">
        <w:rPr>
          <w:rFonts w:ascii="Cambria" w:hAnsi="Cambria"/>
          <w:color w:val="auto"/>
        </w:rPr>
        <w:t>the depositary bank.</w:t>
      </w:r>
    </w:p>
    <w:p w14:paraId="7B329809" w14:textId="1BC168BD" w:rsidR="00F86720" w:rsidRPr="00572F3F" w:rsidRDefault="00572F3F" w:rsidP="00A3777B">
      <w:pPr>
        <w:jc w:val="both"/>
        <w:rPr>
          <w:rFonts w:ascii="Cambria" w:hAnsi="Cambria" w:cs="Times New Roman"/>
          <w:color w:val="FF0000"/>
          <w:sz w:val="28"/>
          <w:szCs w:val="16"/>
        </w:rPr>
      </w:pPr>
      <w:r w:rsidRPr="00572F3F">
        <w:rPr>
          <w:rFonts w:ascii="Cambria" w:hAnsi="Cambria"/>
          <w:color w:val="FF0000"/>
          <w:sz w:val="28"/>
        </w:rPr>
        <w:lastRenderedPageBreak/>
        <w:t xml:space="preserve">Market </w:t>
      </w:r>
      <w:r w:rsidR="00737BCC">
        <w:rPr>
          <w:rFonts w:ascii="Cambria" w:hAnsi="Cambria"/>
          <w:color w:val="FF0000"/>
          <w:sz w:val="28"/>
        </w:rPr>
        <w:t>O</w:t>
      </w:r>
      <w:r w:rsidRPr="00572F3F">
        <w:rPr>
          <w:rFonts w:ascii="Cambria" w:hAnsi="Cambria"/>
          <w:color w:val="FF0000"/>
          <w:sz w:val="28"/>
        </w:rPr>
        <w:t>verview (</w:t>
      </w:r>
      <w:r w:rsidR="00737BCC">
        <w:rPr>
          <w:rFonts w:ascii="Cambria" w:hAnsi="Cambria"/>
          <w:color w:val="FF0000"/>
          <w:sz w:val="28"/>
        </w:rPr>
        <w:t>C</w:t>
      </w:r>
      <w:r w:rsidRPr="00572F3F">
        <w:rPr>
          <w:rFonts w:ascii="Cambria" w:hAnsi="Cambria"/>
          <w:color w:val="FF0000"/>
          <w:sz w:val="28"/>
        </w:rPr>
        <w:t>ompetition)</w:t>
      </w:r>
    </w:p>
    <w:p w14:paraId="5EFF96F1" w14:textId="7B1E494F" w:rsidR="0032132C" w:rsidRDefault="00D42B77" w:rsidP="00A3777B">
      <w:pPr>
        <w:jc w:val="both"/>
        <w:rPr>
          <w:rFonts w:ascii="Cambria" w:hAnsi="Cambria"/>
          <w:color w:val="auto"/>
        </w:rPr>
      </w:pPr>
      <w:r w:rsidRPr="00D42B77">
        <w:rPr>
          <w:rFonts w:ascii="Cambria" w:hAnsi="Cambria"/>
          <w:color w:val="auto"/>
        </w:rPr>
        <w:t xml:space="preserve">There are four </w:t>
      </w:r>
      <w:r w:rsidR="00737BCC">
        <w:rPr>
          <w:rFonts w:ascii="Cambria" w:hAnsi="Cambria"/>
          <w:color w:val="auto"/>
        </w:rPr>
        <w:t>d</w:t>
      </w:r>
      <w:r w:rsidRPr="00D42B77">
        <w:rPr>
          <w:rFonts w:ascii="Cambria" w:hAnsi="Cambria"/>
          <w:color w:val="auto"/>
        </w:rPr>
        <w:t xml:space="preserve">epositary </w:t>
      </w:r>
      <w:r w:rsidR="00737BCC">
        <w:rPr>
          <w:rFonts w:ascii="Cambria" w:hAnsi="Cambria"/>
          <w:color w:val="auto"/>
        </w:rPr>
        <w:t>b</w:t>
      </w:r>
      <w:r w:rsidRPr="00D42B77">
        <w:rPr>
          <w:rFonts w:ascii="Cambria" w:hAnsi="Cambria"/>
          <w:color w:val="auto"/>
        </w:rPr>
        <w:t xml:space="preserve">anks globally: </w:t>
      </w:r>
      <w:r>
        <w:rPr>
          <w:rFonts w:ascii="Cambria" w:hAnsi="Cambria"/>
          <w:color w:val="auto"/>
        </w:rPr>
        <w:t>BNY Mellon</w:t>
      </w:r>
      <w:r w:rsidRPr="00D42B77">
        <w:rPr>
          <w:rFonts w:ascii="Cambria" w:hAnsi="Cambria"/>
          <w:color w:val="auto"/>
        </w:rPr>
        <w:t xml:space="preserve">, Deutsche Bank, </w:t>
      </w:r>
      <w:r>
        <w:rPr>
          <w:rFonts w:ascii="Cambria" w:hAnsi="Cambria"/>
          <w:color w:val="auto"/>
        </w:rPr>
        <w:t xml:space="preserve">JP Morgan </w:t>
      </w:r>
      <w:r w:rsidRPr="00D42B77">
        <w:rPr>
          <w:rFonts w:ascii="Cambria" w:hAnsi="Cambria"/>
          <w:color w:val="auto"/>
        </w:rPr>
        <w:t>and Citibank.</w:t>
      </w:r>
      <w:r>
        <w:rPr>
          <w:rFonts w:ascii="Cambria" w:hAnsi="Cambria"/>
          <w:color w:val="auto"/>
        </w:rPr>
        <w:t xml:space="preserve"> </w:t>
      </w:r>
      <w:r w:rsidR="00737BCC">
        <w:rPr>
          <w:rFonts w:ascii="Cambria" w:hAnsi="Cambria"/>
          <w:color w:val="auto"/>
        </w:rPr>
        <w:t xml:space="preserve"> BNY Mellon is t</w:t>
      </w:r>
      <w:r>
        <w:rPr>
          <w:rFonts w:ascii="Cambria" w:hAnsi="Cambria"/>
          <w:color w:val="auto"/>
        </w:rPr>
        <w:t xml:space="preserve">he largest depositary bank </w:t>
      </w:r>
      <w:r w:rsidR="00B47785">
        <w:rPr>
          <w:rFonts w:ascii="Cambria" w:hAnsi="Cambria"/>
          <w:color w:val="auto"/>
        </w:rPr>
        <w:t>based on</w:t>
      </w:r>
      <w:r w:rsidR="00955A49">
        <w:rPr>
          <w:rFonts w:ascii="Cambria" w:hAnsi="Cambria"/>
          <w:color w:val="auto"/>
        </w:rPr>
        <w:t xml:space="preserve"> the</w:t>
      </w:r>
      <w:r>
        <w:rPr>
          <w:rFonts w:ascii="Cambria" w:hAnsi="Cambria"/>
          <w:color w:val="auto"/>
        </w:rPr>
        <w:t xml:space="preserve"> market share </w:t>
      </w:r>
      <w:r w:rsidR="00955A49">
        <w:rPr>
          <w:rFonts w:ascii="Cambria" w:hAnsi="Cambria"/>
          <w:color w:val="auto"/>
        </w:rPr>
        <w:t>for sponsored DR program</w:t>
      </w:r>
      <w:r w:rsidR="007F6261">
        <w:rPr>
          <w:rFonts w:ascii="Cambria" w:hAnsi="Cambria"/>
          <w:color w:val="auto"/>
        </w:rPr>
        <w:t>s</w:t>
      </w:r>
      <w:r>
        <w:rPr>
          <w:rFonts w:ascii="Cambria" w:hAnsi="Cambria"/>
          <w:color w:val="auto"/>
        </w:rPr>
        <w:t xml:space="preserve">. </w:t>
      </w:r>
    </w:p>
    <w:p w14:paraId="0E4E7731" w14:textId="146F9017" w:rsidR="00955A49" w:rsidRPr="00A3777B" w:rsidRDefault="00833F9C" w:rsidP="00AB6CFB">
      <w:pPr>
        <w:rPr>
          <w:rFonts w:ascii="Cambria" w:hAnsi="Cambria"/>
          <w:b/>
          <w:color w:val="auto"/>
        </w:rPr>
      </w:pPr>
      <w:r w:rsidRPr="00A3777B">
        <w:rPr>
          <w:rFonts w:ascii="Cambria" w:hAnsi="Cambria"/>
          <w:b/>
          <w:color w:val="auto"/>
        </w:rPr>
        <w:t>Global Marke</w:t>
      </w:r>
      <w:r w:rsidR="007F6261">
        <w:rPr>
          <w:rFonts w:ascii="Cambria" w:hAnsi="Cambria"/>
          <w:b/>
          <w:color w:val="auto"/>
        </w:rPr>
        <w:t>t</w:t>
      </w:r>
      <w:r w:rsidRPr="00A3777B">
        <w:rPr>
          <w:rFonts w:ascii="Cambria" w:hAnsi="Cambria"/>
          <w:b/>
          <w:color w:val="auto"/>
        </w:rPr>
        <w:t xml:space="preserve"> </w:t>
      </w:r>
      <w:r w:rsidR="007F6261">
        <w:rPr>
          <w:rFonts w:ascii="Cambria" w:hAnsi="Cambria"/>
          <w:b/>
          <w:color w:val="auto"/>
        </w:rPr>
        <w:t>S</w:t>
      </w:r>
      <w:r w:rsidRPr="00A3777B">
        <w:rPr>
          <w:rFonts w:ascii="Cambria" w:hAnsi="Cambria"/>
          <w:b/>
          <w:color w:val="auto"/>
        </w:rPr>
        <w:t xml:space="preserve">hare of </w:t>
      </w:r>
      <w:r w:rsidR="007F6261">
        <w:rPr>
          <w:rFonts w:ascii="Cambria" w:hAnsi="Cambria"/>
          <w:b/>
          <w:color w:val="auto"/>
        </w:rPr>
        <w:t>S</w:t>
      </w:r>
      <w:r w:rsidRPr="00A3777B">
        <w:rPr>
          <w:rFonts w:ascii="Cambria" w:hAnsi="Cambria"/>
          <w:b/>
          <w:color w:val="auto"/>
        </w:rPr>
        <w:t xml:space="preserve">ponsored DR </w:t>
      </w:r>
      <w:r w:rsidR="007F6261">
        <w:rPr>
          <w:rFonts w:ascii="Cambria" w:hAnsi="Cambria"/>
          <w:b/>
          <w:color w:val="auto"/>
        </w:rPr>
        <w:t>P</w:t>
      </w:r>
      <w:r w:rsidRPr="00A3777B">
        <w:rPr>
          <w:rFonts w:ascii="Cambria" w:hAnsi="Cambria"/>
          <w:b/>
          <w:color w:val="auto"/>
        </w:rPr>
        <w:t>rograms</w:t>
      </w:r>
    </w:p>
    <w:p w14:paraId="733F4BE5" w14:textId="77777777" w:rsidR="00EA7712" w:rsidRPr="00505882" w:rsidRDefault="00833F9C" w:rsidP="00446062">
      <w:pPr>
        <w:rPr>
          <w:rFonts w:ascii="Cambria" w:hAnsi="Cambria"/>
          <w:color w:val="auto"/>
        </w:rPr>
      </w:pPr>
      <w:r w:rsidRPr="00833F9C">
        <w:rPr>
          <w:rFonts w:ascii="Cambria" w:hAnsi="Cambria"/>
          <w:noProof/>
          <w:color w:val="auto"/>
        </w:rPr>
        <w:drawing>
          <wp:inline distT="0" distB="0" distL="0" distR="0" wp14:anchorId="1DE1FBAB" wp14:editId="431492D0">
            <wp:extent cx="3314700" cy="1640840"/>
            <wp:effectExtent l="0" t="0" r="12700" b="35560"/>
            <wp:docPr id="3" name="C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E4F79C4" w14:textId="16F78FD6" w:rsidR="00446062" w:rsidRDefault="00446062" w:rsidP="00446062">
      <w:pPr>
        <w:rPr>
          <w:rFonts w:ascii="Cambria" w:hAnsi="Cambria"/>
          <w:color w:val="FF0000"/>
          <w:sz w:val="36"/>
        </w:rPr>
      </w:pPr>
      <w:r w:rsidRPr="0062061B">
        <w:rPr>
          <w:rFonts w:ascii="Cambria" w:hAnsi="Cambria"/>
          <w:color w:val="FF0000"/>
          <w:sz w:val="36"/>
        </w:rPr>
        <w:t xml:space="preserve">Reimbursement </w:t>
      </w:r>
      <w:r w:rsidR="007F6261">
        <w:rPr>
          <w:rFonts w:ascii="Cambria" w:hAnsi="Cambria"/>
          <w:color w:val="FF0000"/>
          <w:sz w:val="36"/>
        </w:rPr>
        <w:t>A</w:t>
      </w:r>
      <w:r w:rsidRPr="0062061B">
        <w:rPr>
          <w:rFonts w:ascii="Cambria" w:hAnsi="Cambria"/>
          <w:color w:val="FF0000"/>
          <w:sz w:val="36"/>
        </w:rPr>
        <w:t>rrangements</w:t>
      </w:r>
    </w:p>
    <w:p w14:paraId="29FF2B7F" w14:textId="090D7369" w:rsidR="00E20389" w:rsidRDefault="00747C50" w:rsidP="00446062">
      <w:pPr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Over the years</w:t>
      </w:r>
      <w:r w:rsidR="007F6261">
        <w:rPr>
          <w:rFonts w:ascii="Cambria" w:hAnsi="Cambria"/>
          <w:color w:val="auto"/>
        </w:rPr>
        <w:t>,</w:t>
      </w:r>
      <w:r>
        <w:rPr>
          <w:rFonts w:ascii="Cambria" w:hAnsi="Cambria"/>
          <w:color w:val="auto"/>
        </w:rPr>
        <w:t xml:space="preserve"> the DR market has</w:t>
      </w:r>
      <w:r w:rsidR="001952D0">
        <w:rPr>
          <w:rFonts w:ascii="Cambria" w:hAnsi="Cambria"/>
          <w:color w:val="auto"/>
        </w:rPr>
        <w:t xml:space="preserve"> evolved </w:t>
      </w:r>
      <w:r w:rsidR="002E1621">
        <w:rPr>
          <w:rFonts w:ascii="Cambria" w:hAnsi="Cambria"/>
          <w:color w:val="auto"/>
        </w:rPr>
        <w:t>so that</w:t>
      </w:r>
      <w:r w:rsidR="0048581B">
        <w:rPr>
          <w:rFonts w:ascii="Cambria" w:hAnsi="Cambria"/>
          <w:color w:val="auto"/>
        </w:rPr>
        <w:t xml:space="preserve"> </w:t>
      </w:r>
      <w:r w:rsidR="001952D0">
        <w:rPr>
          <w:rFonts w:ascii="Cambria" w:hAnsi="Cambria"/>
          <w:color w:val="auto"/>
        </w:rPr>
        <w:t xml:space="preserve">depositary </w:t>
      </w:r>
      <w:r>
        <w:rPr>
          <w:rFonts w:ascii="Cambria" w:hAnsi="Cambria"/>
          <w:color w:val="auto"/>
        </w:rPr>
        <w:t>banks share</w:t>
      </w:r>
      <w:r w:rsidR="001952D0">
        <w:rPr>
          <w:rFonts w:ascii="Cambria" w:hAnsi="Cambria"/>
          <w:color w:val="auto"/>
        </w:rPr>
        <w:t xml:space="preserve"> a certain percentage </w:t>
      </w:r>
      <w:r w:rsidR="00D169D9">
        <w:rPr>
          <w:rFonts w:ascii="Cambria" w:hAnsi="Cambria"/>
          <w:color w:val="auto"/>
        </w:rPr>
        <w:t>of</w:t>
      </w:r>
      <w:r>
        <w:rPr>
          <w:rFonts w:ascii="Cambria" w:hAnsi="Cambria"/>
          <w:color w:val="auto"/>
        </w:rPr>
        <w:t xml:space="preserve"> their revenues with </w:t>
      </w:r>
      <w:r w:rsidR="00446062">
        <w:rPr>
          <w:rFonts w:ascii="Cambria" w:hAnsi="Cambria"/>
          <w:color w:val="auto"/>
        </w:rPr>
        <w:t>companies in a form of a financial reimbursement (“Reimbursement”)</w:t>
      </w:r>
      <w:r w:rsidR="00446062" w:rsidRPr="00920D48">
        <w:rPr>
          <w:rFonts w:ascii="Cambria" w:hAnsi="Cambria"/>
          <w:color w:val="auto"/>
        </w:rPr>
        <w:t>.</w:t>
      </w:r>
      <w:r w:rsidR="00446062">
        <w:rPr>
          <w:rFonts w:ascii="Cambria" w:hAnsi="Cambria"/>
          <w:color w:val="auto"/>
        </w:rPr>
        <w:t xml:space="preserve"> </w:t>
      </w:r>
      <w:r w:rsidR="002E1621">
        <w:rPr>
          <w:rFonts w:ascii="Cambria" w:hAnsi="Cambria"/>
          <w:color w:val="auto"/>
        </w:rPr>
        <w:t xml:space="preserve"> For an issuer like Norilsk, t</w:t>
      </w:r>
      <w:r>
        <w:rPr>
          <w:rFonts w:ascii="Cambria" w:hAnsi="Cambria"/>
          <w:color w:val="auto"/>
        </w:rPr>
        <w:t xml:space="preserve">he reimbursement allocation </w:t>
      </w:r>
      <w:r w:rsidR="000E277D">
        <w:rPr>
          <w:rFonts w:ascii="Cambria" w:hAnsi="Cambria"/>
          <w:color w:val="auto"/>
        </w:rPr>
        <w:t>plays</w:t>
      </w:r>
      <w:r>
        <w:rPr>
          <w:rFonts w:ascii="Cambria" w:hAnsi="Cambria"/>
          <w:color w:val="auto"/>
        </w:rPr>
        <w:t xml:space="preserve"> </w:t>
      </w:r>
      <w:r w:rsidR="0048581B">
        <w:rPr>
          <w:rFonts w:ascii="Cambria" w:hAnsi="Cambria"/>
          <w:color w:val="auto"/>
        </w:rPr>
        <w:t xml:space="preserve">an </w:t>
      </w:r>
      <w:r w:rsidR="000E277D">
        <w:rPr>
          <w:rFonts w:ascii="Cambria" w:hAnsi="Cambria"/>
          <w:color w:val="auto"/>
        </w:rPr>
        <w:t>essential</w:t>
      </w:r>
      <w:r w:rsidR="0048581B">
        <w:rPr>
          <w:rFonts w:ascii="Cambria" w:hAnsi="Cambria"/>
          <w:color w:val="auto"/>
        </w:rPr>
        <w:t xml:space="preserve"> role</w:t>
      </w:r>
      <w:r w:rsidR="00E20389">
        <w:rPr>
          <w:rFonts w:ascii="Cambria" w:hAnsi="Cambria"/>
          <w:color w:val="auto"/>
        </w:rPr>
        <w:t xml:space="preserve"> in the process of selecting a depositary bank.</w:t>
      </w:r>
      <w:r w:rsidR="000E277D">
        <w:rPr>
          <w:rFonts w:ascii="Cambria" w:hAnsi="Cambria"/>
          <w:color w:val="auto"/>
        </w:rPr>
        <w:t xml:space="preserve"> The </w:t>
      </w:r>
      <w:r w:rsidR="00446062">
        <w:rPr>
          <w:rFonts w:ascii="Cambria" w:hAnsi="Cambria"/>
          <w:color w:val="auto"/>
        </w:rPr>
        <w:t xml:space="preserve">main </w:t>
      </w:r>
      <w:r w:rsidR="00CD73F5">
        <w:rPr>
          <w:rFonts w:ascii="Cambria" w:hAnsi="Cambria"/>
          <w:color w:val="auto"/>
        </w:rPr>
        <w:t>purpose</w:t>
      </w:r>
      <w:r w:rsidR="002E1621">
        <w:rPr>
          <w:rFonts w:ascii="Cambria" w:hAnsi="Cambria"/>
          <w:color w:val="auto"/>
        </w:rPr>
        <w:t xml:space="preserve"> </w:t>
      </w:r>
      <w:r w:rsidR="00446062">
        <w:rPr>
          <w:rFonts w:ascii="Cambria" w:hAnsi="Cambria"/>
          <w:color w:val="auto"/>
        </w:rPr>
        <w:t xml:space="preserve">of the reimbursement is to cover </w:t>
      </w:r>
      <w:r w:rsidR="002E1621">
        <w:rPr>
          <w:rFonts w:ascii="Cambria" w:hAnsi="Cambria"/>
          <w:color w:val="auto"/>
        </w:rPr>
        <w:t xml:space="preserve">the </w:t>
      </w:r>
      <w:r w:rsidR="00446062">
        <w:rPr>
          <w:rFonts w:ascii="Cambria" w:hAnsi="Cambria"/>
          <w:color w:val="auto"/>
        </w:rPr>
        <w:t xml:space="preserve">company’s expenses rendered in connection with </w:t>
      </w:r>
      <w:r w:rsidR="002E1621">
        <w:rPr>
          <w:rFonts w:ascii="Cambria" w:hAnsi="Cambria"/>
          <w:color w:val="auto"/>
        </w:rPr>
        <w:t xml:space="preserve">the </w:t>
      </w:r>
      <w:r w:rsidR="00446062">
        <w:rPr>
          <w:rFonts w:ascii="Cambria" w:hAnsi="Cambria"/>
          <w:color w:val="auto"/>
        </w:rPr>
        <w:t xml:space="preserve">improvement of </w:t>
      </w:r>
      <w:r w:rsidR="002E1621">
        <w:rPr>
          <w:rFonts w:ascii="Cambria" w:hAnsi="Cambria"/>
          <w:color w:val="auto"/>
        </w:rPr>
        <w:t>i</w:t>
      </w:r>
      <w:r w:rsidR="00446062">
        <w:rPr>
          <w:rFonts w:ascii="Cambria" w:hAnsi="Cambria"/>
          <w:color w:val="auto"/>
        </w:rPr>
        <w:t xml:space="preserve">nvestor </w:t>
      </w:r>
      <w:r w:rsidR="002E1621">
        <w:rPr>
          <w:rFonts w:ascii="Cambria" w:hAnsi="Cambria"/>
          <w:color w:val="auto"/>
        </w:rPr>
        <w:t>r</w:t>
      </w:r>
      <w:r w:rsidR="00446062">
        <w:rPr>
          <w:rFonts w:ascii="Cambria" w:hAnsi="Cambria"/>
          <w:color w:val="auto"/>
        </w:rPr>
        <w:t xml:space="preserve">elations, PR, </w:t>
      </w:r>
      <w:r w:rsidR="002E1621">
        <w:rPr>
          <w:rFonts w:ascii="Cambria" w:hAnsi="Cambria"/>
          <w:color w:val="auto"/>
        </w:rPr>
        <w:t>c</w:t>
      </w:r>
      <w:r w:rsidR="00446062">
        <w:rPr>
          <w:rFonts w:ascii="Cambria" w:hAnsi="Cambria"/>
          <w:color w:val="auto"/>
        </w:rPr>
        <w:t xml:space="preserve">apital </w:t>
      </w:r>
      <w:r w:rsidR="002E1621">
        <w:rPr>
          <w:rFonts w:ascii="Cambria" w:hAnsi="Cambria"/>
          <w:color w:val="auto"/>
        </w:rPr>
        <w:t>m</w:t>
      </w:r>
      <w:r w:rsidR="00446062">
        <w:rPr>
          <w:rFonts w:ascii="Cambria" w:hAnsi="Cambria"/>
          <w:color w:val="auto"/>
        </w:rPr>
        <w:t>arkets</w:t>
      </w:r>
      <w:r w:rsidR="002E1621">
        <w:rPr>
          <w:rFonts w:ascii="Cambria" w:hAnsi="Cambria"/>
          <w:color w:val="auto"/>
        </w:rPr>
        <w:t>-</w:t>
      </w:r>
      <w:r w:rsidR="00446062">
        <w:rPr>
          <w:rFonts w:ascii="Cambria" w:hAnsi="Cambria"/>
          <w:color w:val="auto"/>
        </w:rPr>
        <w:t>related projects</w:t>
      </w:r>
      <w:r w:rsidR="002E1621">
        <w:rPr>
          <w:rFonts w:ascii="Cambria" w:hAnsi="Cambria"/>
          <w:color w:val="auto"/>
        </w:rPr>
        <w:t>,</w:t>
      </w:r>
      <w:r w:rsidR="00446062">
        <w:rPr>
          <w:rFonts w:ascii="Cambria" w:hAnsi="Cambria"/>
          <w:color w:val="auto"/>
        </w:rPr>
        <w:t xml:space="preserve"> and </w:t>
      </w:r>
      <w:r w:rsidR="002E1621">
        <w:rPr>
          <w:rFonts w:ascii="Cambria" w:hAnsi="Cambria"/>
          <w:color w:val="auto"/>
        </w:rPr>
        <w:t>c</w:t>
      </w:r>
      <w:r w:rsidR="00446062">
        <w:rPr>
          <w:rFonts w:ascii="Cambria" w:hAnsi="Cambria"/>
          <w:color w:val="auto"/>
        </w:rPr>
        <w:t xml:space="preserve">orporate </w:t>
      </w:r>
      <w:r w:rsidR="002E1621">
        <w:rPr>
          <w:rFonts w:ascii="Cambria" w:hAnsi="Cambria"/>
          <w:color w:val="auto"/>
        </w:rPr>
        <w:t>g</w:t>
      </w:r>
      <w:r w:rsidR="00446062">
        <w:rPr>
          <w:rFonts w:ascii="Cambria" w:hAnsi="Cambria"/>
          <w:color w:val="auto"/>
        </w:rPr>
        <w:t xml:space="preserve">overnance. </w:t>
      </w:r>
    </w:p>
    <w:p w14:paraId="3D347211" w14:textId="281F42F3" w:rsidR="00D169D9" w:rsidRDefault="00E20389" w:rsidP="00446062">
      <w:pPr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There are two ways</w:t>
      </w:r>
      <w:r w:rsidR="00D169D9">
        <w:rPr>
          <w:rFonts w:ascii="Cambria" w:hAnsi="Cambria"/>
          <w:color w:val="auto"/>
        </w:rPr>
        <w:t xml:space="preserve"> depositary bank</w:t>
      </w:r>
      <w:r>
        <w:rPr>
          <w:rFonts w:ascii="Cambria" w:hAnsi="Cambria"/>
          <w:color w:val="auto"/>
        </w:rPr>
        <w:t>s can pay the reimbursement</w:t>
      </w:r>
      <w:r w:rsidR="00CC30F6">
        <w:rPr>
          <w:rFonts w:ascii="Cambria" w:hAnsi="Cambria"/>
          <w:color w:val="auto"/>
        </w:rPr>
        <w:t xml:space="preserve">. </w:t>
      </w:r>
      <w:r w:rsidR="002E1621">
        <w:rPr>
          <w:rFonts w:ascii="Cambria" w:hAnsi="Cambria"/>
          <w:color w:val="auto"/>
        </w:rPr>
        <w:t xml:space="preserve"> </w:t>
      </w:r>
      <w:r w:rsidR="00CC30F6">
        <w:rPr>
          <w:rFonts w:ascii="Cambria" w:hAnsi="Cambria"/>
          <w:color w:val="auto"/>
        </w:rPr>
        <w:t>The first option is to reimburse</w:t>
      </w:r>
      <w:r w:rsidR="00D169D9">
        <w:rPr>
          <w:rFonts w:ascii="Cambria" w:hAnsi="Cambria"/>
          <w:color w:val="auto"/>
        </w:rPr>
        <w:t xml:space="preserve"> the company </w:t>
      </w:r>
      <w:r w:rsidR="00CC30F6">
        <w:rPr>
          <w:rFonts w:ascii="Cambria" w:hAnsi="Cambria"/>
          <w:color w:val="auto"/>
        </w:rPr>
        <w:t xml:space="preserve">directly </w:t>
      </w:r>
      <w:r w:rsidR="0048581B">
        <w:rPr>
          <w:rFonts w:ascii="Cambria" w:hAnsi="Cambria"/>
          <w:color w:val="auto"/>
        </w:rPr>
        <w:t>with a fixed amount or allocate</w:t>
      </w:r>
      <w:r w:rsidR="00D169D9">
        <w:rPr>
          <w:rFonts w:ascii="Cambria" w:hAnsi="Cambria"/>
          <w:color w:val="auto"/>
        </w:rPr>
        <w:t xml:space="preserve"> a certain percentage from the bank’s revenue. </w:t>
      </w:r>
      <w:r w:rsidR="00BD73F5">
        <w:rPr>
          <w:rFonts w:ascii="Cambria" w:hAnsi="Cambria"/>
          <w:color w:val="auto"/>
        </w:rPr>
        <w:t xml:space="preserve"> </w:t>
      </w:r>
      <w:r w:rsidR="00D169D9">
        <w:rPr>
          <w:rFonts w:ascii="Cambria" w:hAnsi="Cambria"/>
          <w:color w:val="auto"/>
        </w:rPr>
        <w:t xml:space="preserve">The second option is </w:t>
      </w:r>
      <w:r w:rsidR="00E670CC">
        <w:rPr>
          <w:rFonts w:ascii="Cambria" w:hAnsi="Cambria"/>
          <w:color w:val="auto"/>
        </w:rPr>
        <w:t xml:space="preserve">to pay </w:t>
      </w:r>
      <w:r w:rsidR="00D169D9">
        <w:rPr>
          <w:rFonts w:ascii="Cambria" w:hAnsi="Cambria"/>
          <w:color w:val="auto"/>
        </w:rPr>
        <w:t>directly</w:t>
      </w:r>
      <w:r w:rsidR="00E670CC">
        <w:rPr>
          <w:rFonts w:ascii="Cambria" w:hAnsi="Cambria"/>
          <w:color w:val="auto"/>
        </w:rPr>
        <w:t xml:space="preserve"> to </w:t>
      </w:r>
      <w:r w:rsidR="00812730">
        <w:rPr>
          <w:rFonts w:asciiTheme="majorHAnsi" w:hAnsiTheme="majorHAnsi"/>
          <w:color w:val="auto"/>
        </w:rPr>
        <w:t xml:space="preserve">third-party </w:t>
      </w:r>
      <w:r w:rsidR="00E670CC">
        <w:rPr>
          <w:rFonts w:ascii="Cambria" w:hAnsi="Cambria"/>
          <w:color w:val="auto"/>
        </w:rPr>
        <w:t>vendors</w:t>
      </w:r>
      <w:r w:rsidR="0048581B">
        <w:rPr>
          <w:rFonts w:ascii="Cambria" w:hAnsi="Cambria"/>
          <w:color w:val="auto"/>
        </w:rPr>
        <w:t xml:space="preserve"> on behalf of a company</w:t>
      </w:r>
      <w:r w:rsidR="00E670CC">
        <w:rPr>
          <w:rFonts w:ascii="Cambria" w:hAnsi="Cambria"/>
          <w:color w:val="auto"/>
        </w:rPr>
        <w:t xml:space="preserve"> </w:t>
      </w:r>
      <w:r w:rsidR="00D169D9">
        <w:rPr>
          <w:rFonts w:ascii="Cambria" w:hAnsi="Cambria"/>
          <w:color w:val="auto"/>
        </w:rPr>
        <w:t>by utilizing a company’s reimbursement budget</w:t>
      </w:r>
      <w:r w:rsidR="00456509">
        <w:rPr>
          <w:rFonts w:ascii="Cambria" w:hAnsi="Cambria"/>
          <w:color w:val="auto"/>
        </w:rPr>
        <w:t>.</w:t>
      </w:r>
    </w:p>
    <w:p w14:paraId="2008C23B" w14:textId="6D79F3BF" w:rsidR="00446062" w:rsidRDefault="00D169D9" w:rsidP="00446062">
      <w:pPr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From a regulatory perspective, </w:t>
      </w:r>
      <w:r w:rsidR="00446062">
        <w:rPr>
          <w:rFonts w:ascii="Cambria" w:hAnsi="Cambria"/>
          <w:color w:val="auto"/>
        </w:rPr>
        <w:t xml:space="preserve">all foreign companies </w:t>
      </w:r>
      <w:r w:rsidR="00E20389">
        <w:rPr>
          <w:rFonts w:ascii="Cambria" w:hAnsi="Cambria"/>
          <w:color w:val="auto"/>
        </w:rPr>
        <w:t>listed in the US market</w:t>
      </w:r>
      <w:r w:rsidR="00446062">
        <w:rPr>
          <w:rFonts w:ascii="Cambria" w:hAnsi="Cambria"/>
          <w:color w:val="auto"/>
        </w:rPr>
        <w:t xml:space="preserve"> (NYSE and NASDAQ) </w:t>
      </w:r>
      <w:r w:rsidR="00BD73F5">
        <w:rPr>
          <w:rFonts w:ascii="Cambria" w:hAnsi="Cambria"/>
          <w:color w:val="auto"/>
        </w:rPr>
        <w:t>must</w:t>
      </w:r>
      <w:r w:rsidR="00E670CC">
        <w:rPr>
          <w:rFonts w:ascii="Cambria" w:hAnsi="Cambria"/>
          <w:color w:val="auto"/>
        </w:rPr>
        <w:t xml:space="preserve"> disclose </w:t>
      </w:r>
      <w:r w:rsidR="00BD73F5">
        <w:rPr>
          <w:rFonts w:ascii="Cambria" w:hAnsi="Cambria"/>
          <w:color w:val="auto"/>
        </w:rPr>
        <w:t>the</w:t>
      </w:r>
      <w:r w:rsidR="00E670CC">
        <w:rPr>
          <w:rFonts w:ascii="Cambria" w:hAnsi="Cambria"/>
          <w:color w:val="auto"/>
        </w:rPr>
        <w:t xml:space="preserve"> total value</w:t>
      </w:r>
      <w:r w:rsidR="00446062">
        <w:rPr>
          <w:rFonts w:ascii="Cambria" w:hAnsi="Cambria"/>
          <w:color w:val="auto"/>
        </w:rPr>
        <w:t xml:space="preserve"> of reimbursement</w:t>
      </w:r>
      <w:r w:rsidR="00E670CC">
        <w:rPr>
          <w:rFonts w:ascii="Cambria" w:hAnsi="Cambria"/>
          <w:color w:val="auto"/>
        </w:rPr>
        <w:t xml:space="preserve"> payments</w:t>
      </w:r>
      <w:r w:rsidR="001952D0">
        <w:rPr>
          <w:rFonts w:ascii="Cambria" w:hAnsi="Cambria"/>
          <w:color w:val="auto"/>
        </w:rPr>
        <w:t xml:space="preserve"> received from</w:t>
      </w:r>
      <w:r w:rsidR="00446062">
        <w:rPr>
          <w:rFonts w:ascii="Cambria" w:hAnsi="Cambria"/>
          <w:color w:val="auto"/>
        </w:rPr>
        <w:t xml:space="preserve"> the deposita</w:t>
      </w:r>
      <w:r w:rsidR="00E20389">
        <w:rPr>
          <w:rFonts w:ascii="Cambria" w:hAnsi="Cambria"/>
          <w:color w:val="auto"/>
        </w:rPr>
        <w:t>ry bank in</w:t>
      </w:r>
      <w:r w:rsidR="00BD73F5">
        <w:rPr>
          <w:rFonts w:ascii="Cambria" w:hAnsi="Cambria"/>
          <w:color w:val="auto"/>
        </w:rPr>
        <w:t xml:space="preserve"> a</w:t>
      </w:r>
      <w:r w:rsidR="00E20389">
        <w:rPr>
          <w:rFonts w:ascii="Cambria" w:hAnsi="Cambria"/>
          <w:color w:val="auto"/>
        </w:rPr>
        <w:t xml:space="preserve"> 20-F report</w:t>
      </w:r>
      <w:r w:rsidR="00446062">
        <w:rPr>
          <w:rFonts w:ascii="Cambria" w:hAnsi="Cambria"/>
          <w:color w:val="auto"/>
        </w:rPr>
        <w:t xml:space="preserve">.  </w:t>
      </w:r>
      <w:r w:rsidR="00BD73F5">
        <w:rPr>
          <w:rFonts w:ascii="Cambria" w:hAnsi="Cambria"/>
          <w:color w:val="auto"/>
        </w:rPr>
        <w:t xml:space="preserve">This </w:t>
      </w:r>
      <w:r w:rsidR="00446062">
        <w:rPr>
          <w:rFonts w:ascii="Cambria" w:hAnsi="Cambria"/>
          <w:color w:val="auto"/>
        </w:rPr>
        <w:t xml:space="preserve">rule </w:t>
      </w:r>
      <w:r w:rsidR="00BD73F5">
        <w:rPr>
          <w:rFonts w:ascii="Cambria" w:hAnsi="Cambria"/>
          <w:color w:val="auto"/>
        </w:rPr>
        <w:t xml:space="preserve">does </w:t>
      </w:r>
      <w:r w:rsidR="00446062">
        <w:rPr>
          <w:rFonts w:ascii="Cambria" w:hAnsi="Cambria"/>
          <w:color w:val="auto"/>
        </w:rPr>
        <w:t xml:space="preserve">not </w:t>
      </w:r>
      <w:r w:rsidR="00BD73F5">
        <w:rPr>
          <w:rFonts w:ascii="Cambria" w:hAnsi="Cambria"/>
          <w:color w:val="auto"/>
        </w:rPr>
        <w:t>apply to</w:t>
      </w:r>
      <w:r w:rsidR="00446062">
        <w:rPr>
          <w:rFonts w:ascii="Cambria" w:hAnsi="Cambria"/>
          <w:color w:val="auto"/>
        </w:rPr>
        <w:t xml:space="preserve"> </w:t>
      </w:r>
      <w:r w:rsidR="00BD73F5">
        <w:rPr>
          <w:rFonts w:ascii="Cambria" w:hAnsi="Cambria"/>
          <w:color w:val="auto"/>
        </w:rPr>
        <w:t>i</w:t>
      </w:r>
      <w:r w:rsidR="00E670CC">
        <w:rPr>
          <w:rFonts w:ascii="Cambria" w:hAnsi="Cambria"/>
          <w:color w:val="auto"/>
        </w:rPr>
        <w:t xml:space="preserve">ssuers </w:t>
      </w:r>
      <w:r w:rsidR="00446062">
        <w:rPr>
          <w:rFonts w:ascii="Cambria" w:hAnsi="Cambria"/>
          <w:color w:val="auto"/>
        </w:rPr>
        <w:t xml:space="preserve">listed on the London Stock Exchange and other European </w:t>
      </w:r>
      <w:r w:rsidR="00BD73F5">
        <w:rPr>
          <w:rFonts w:ascii="Cambria" w:hAnsi="Cambria"/>
          <w:color w:val="auto"/>
        </w:rPr>
        <w:t>s</w:t>
      </w:r>
      <w:r w:rsidR="00446062">
        <w:rPr>
          <w:rFonts w:ascii="Cambria" w:hAnsi="Cambria"/>
          <w:color w:val="auto"/>
        </w:rPr>
        <w:t xml:space="preserve">tock </w:t>
      </w:r>
      <w:r w:rsidR="00BD73F5">
        <w:rPr>
          <w:rFonts w:ascii="Cambria" w:hAnsi="Cambria"/>
          <w:color w:val="auto"/>
        </w:rPr>
        <w:t>e</w:t>
      </w:r>
      <w:r w:rsidR="00446062">
        <w:rPr>
          <w:rFonts w:ascii="Cambria" w:hAnsi="Cambria"/>
          <w:color w:val="auto"/>
        </w:rPr>
        <w:t xml:space="preserve">xchanges. </w:t>
      </w:r>
    </w:p>
    <w:p w14:paraId="0B1012ED" w14:textId="0ACD8A7E" w:rsidR="00446062" w:rsidRDefault="00446062" w:rsidP="00446062">
      <w:pPr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In addition to the payment method, the </w:t>
      </w:r>
      <w:r w:rsidR="00620E09">
        <w:rPr>
          <w:rFonts w:ascii="Cambria" w:hAnsi="Cambria"/>
          <w:color w:val="auto"/>
        </w:rPr>
        <w:t xml:space="preserve">company has the ability to take </w:t>
      </w:r>
      <w:r w:rsidR="00D169D9">
        <w:rPr>
          <w:rFonts w:ascii="Cambria" w:hAnsi="Cambria"/>
          <w:color w:val="auto"/>
        </w:rPr>
        <w:t xml:space="preserve">the </w:t>
      </w:r>
      <w:r w:rsidR="00620E09">
        <w:rPr>
          <w:rFonts w:ascii="Cambria" w:hAnsi="Cambria"/>
          <w:color w:val="auto"/>
        </w:rPr>
        <w:t xml:space="preserve">reimbursement in </w:t>
      </w:r>
      <w:r w:rsidR="00456509">
        <w:rPr>
          <w:rFonts w:ascii="Cambria" w:hAnsi="Cambria"/>
          <w:color w:val="auto"/>
        </w:rPr>
        <w:t>the</w:t>
      </w:r>
      <w:r w:rsidR="00620E09">
        <w:rPr>
          <w:rFonts w:ascii="Cambria" w:hAnsi="Cambria"/>
          <w:color w:val="auto"/>
        </w:rPr>
        <w:t xml:space="preserve"> form of an upfront payment based on </w:t>
      </w:r>
      <w:r w:rsidR="00D169D9">
        <w:rPr>
          <w:rFonts w:ascii="Cambria" w:hAnsi="Cambria"/>
          <w:color w:val="auto"/>
        </w:rPr>
        <w:t>an bank’s</w:t>
      </w:r>
      <w:r w:rsidR="00620E09">
        <w:rPr>
          <w:rFonts w:ascii="Cambria" w:hAnsi="Cambria"/>
          <w:color w:val="auto"/>
        </w:rPr>
        <w:t xml:space="preserve"> </w:t>
      </w:r>
      <w:r w:rsidR="00456509">
        <w:rPr>
          <w:rFonts w:ascii="Cambria" w:hAnsi="Cambria"/>
          <w:color w:val="auto"/>
        </w:rPr>
        <w:t xml:space="preserve">estimated </w:t>
      </w:r>
      <w:r w:rsidR="00620E09">
        <w:rPr>
          <w:rFonts w:ascii="Cambria" w:hAnsi="Cambria"/>
          <w:color w:val="auto"/>
        </w:rPr>
        <w:t xml:space="preserve">future revenue or to </w:t>
      </w:r>
      <w:r w:rsidR="00D169D9">
        <w:rPr>
          <w:rFonts w:ascii="Cambria" w:hAnsi="Cambria"/>
          <w:color w:val="auto"/>
        </w:rPr>
        <w:t>receive the</w:t>
      </w:r>
      <w:r w:rsidR="00620E09">
        <w:rPr>
          <w:rFonts w:ascii="Cambria" w:hAnsi="Cambria"/>
          <w:color w:val="auto"/>
        </w:rPr>
        <w:t xml:space="preserve"> </w:t>
      </w:r>
      <w:r w:rsidR="00D169D9">
        <w:rPr>
          <w:rFonts w:ascii="Cambria" w:hAnsi="Cambria"/>
          <w:color w:val="auto"/>
        </w:rPr>
        <w:t>reimbursement</w:t>
      </w:r>
      <w:r w:rsidR="00620E09">
        <w:rPr>
          <w:rFonts w:ascii="Cambria" w:hAnsi="Cambria"/>
          <w:color w:val="auto"/>
        </w:rPr>
        <w:t xml:space="preserve"> </w:t>
      </w:r>
      <w:r>
        <w:rPr>
          <w:rFonts w:ascii="Cambria" w:hAnsi="Cambria"/>
          <w:color w:val="auto"/>
        </w:rPr>
        <w:t xml:space="preserve">on an annual basis during the </w:t>
      </w:r>
      <w:r w:rsidR="00E670CC">
        <w:rPr>
          <w:rFonts w:ascii="Cambria" w:hAnsi="Cambria"/>
          <w:color w:val="auto"/>
        </w:rPr>
        <w:t xml:space="preserve">duration of terms of an Engagement Letter between the </w:t>
      </w:r>
      <w:r w:rsidR="00BD73F5">
        <w:rPr>
          <w:rFonts w:ascii="Cambria" w:hAnsi="Cambria"/>
          <w:color w:val="auto"/>
        </w:rPr>
        <w:t>c</w:t>
      </w:r>
      <w:r>
        <w:rPr>
          <w:rFonts w:ascii="Cambria" w:hAnsi="Cambria"/>
          <w:color w:val="auto"/>
        </w:rPr>
        <w:t xml:space="preserve">ompany and </w:t>
      </w:r>
      <w:r w:rsidR="006973C9">
        <w:rPr>
          <w:rFonts w:ascii="Cambria" w:hAnsi="Cambria"/>
          <w:color w:val="auto"/>
        </w:rPr>
        <w:t>d</w:t>
      </w:r>
      <w:r>
        <w:rPr>
          <w:rFonts w:ascii="Cambria" w:hAnsi="Cambria"/>
          <w:color w:val="auto"/>
        </w:rPr>
        <w:t>epos</w:t>
      </w:r>
      <w:r w:rsidR="00E670CC">
        <w:rPr>
          <w:rFonts w:ascii="Cambria" w:hAnsi="Cambria"/>
          <w:color w:val="auto"/>
        </w:rPr>
        <w:t xml:space="preserve">itary bank. </w:t>
      </w:r>
      <w:r w:rsidR="00BD73F5">
        <w:rPr>
          <w:rFonts w:ascii="Cambria" w:hAnsi="Cambria"/>
          <w:color w:val="auto"/>
        </w:rPr>
        <w:t xml:space="preserve"> </w:t>
      </w:r>
      <w:r w:rsidR="00E670CC">
        <w:rPr>
          <w:rFonts w:ascii="Cambria" w:hAnsi="Cambria"/>
          <w:color w:val="auto"/>
        </w:rPr>
        <w:t xml:space="preserve">The upfront </w:t>
      </w:r>
      <w:r>
        <w:rPr>
          <w:rFonts w:ascii="Cambria" w:hAnsi="Cambria"/>
          <w:color w:val="auto"/>
        </w:rPr>
        <w:t>payment is usually employed durin</w:t>
      </w:r>
      <w:r w:rsidR="00E20389">
        <w:rPr>
          <w:rFonts w:ascii="Cambria" w:hAnsi="Cambria"/>
          <w:color w:val="auto"/>
        </w:rPr>
        <w:t>g IPOs</w:t>
      </w:r>
      <w:r w:rsidR="00BD73F5">
        <w:rPr>
          <w:rFonts w:ascii="Cambria" w:hAnsi="Cambria"/>
          <w:color w:val="auto"/>
        </w:rPr>
        <w:t>, when t</w:t>
      </w:r>
      <w:r w:rsidR="00E20389">
        <w:rPr>
          <w:rFonts w:ascii="Cambria" w:hAnsi="Cambria"/>
          <w:color w:val="auto"/>
        </w:rPr>
        <w:t xml:space="preserve">he depositary bank </w:t>
      </w:r>
      <w:r w:rsidR="00E670CC">
        <w:rPr>
          <w:rFonts w:ascii="Cambria" w:hAnsi="Cambria"/>
          <w:color w:val="auto"/>
        </w:rPr>
        <w:t xml:space="preserve">pays the company the </w:t>
      </w:r>
      <w:r w:rsidR="00620E09">
        <w:rPr>
          <w:rFonts w:ascii="Cambria" w:hAnsi="Cambria"/>
          <w:color w:val="auto"/>
        </w:rPr>
        <w:t xml:space="preserve">upfront payment </w:t>
      </w:r>
      <w:r w:rsidR="00D169D9">
        <w:rPr>
          <w:rFonts w:ascii="Cambria" w:hAnsi="Cambria"/>
          <w:color w:val="auto"/>
        </w:rPr>
        <w:t>to</w:t>
      </w:r>
      <w:r>
        <w:rPr>
          <w:rFonts w:ascii="Cambria" w:hAnsi="Cambria"/>
          <w:color w:val="auto"/>
        </w:rPr>
        <w:t xml:space="preserve"> cover IPO</w:t>
      </w:r>
      <w:r w:rsidR="00BD73F5">
        <w:rPr>
          <w:rFonts w:ascii="Cambria" w:hAnsi="Cambria"/>
          <w:color w:val="auto"/>
        </w:rPr>
        <w:t>-</w:t>
      </w:r>
      <w:r>
        <w:rPr>
          <w:rFonts w:ascii="Cambria" w:hAnsi="Cambria"/>
          <w:color w:val="auto"/>
        </w:rPr>
        <w:t xml:space="preserve">related expenses. </w:t>
      </w:r>
      <w:r w:rsidR="00BD73F5">
        <w:rPr>
          <w:rFonts w:ascii="Cambria" w:hAnsi="Cambria"/>
          <w:color w:val="auto"/>
        </w:rPr>
        <w:t xml:space="preserve"> </w:t>
      </w:r>
      <w:r>
        <w:rPr>
          <w:rFonts w:ascii="Cambria" w:hAnsi="Cambria"/>
          <w:color w:val="auto"/>
        </w:rPr>
        <w:t>The revenue</w:t>
      </w:r>
      <w:r w:rsidR="00BD73F5">
        <w:rPr>
          <w:rFonts w:ascii="Cambria" w:hAnsi="Cambria"/>
          <w:color w:val="auto"/>
        </w:rPr>
        <w:t>-</w:t>
      </w:r>
      <w:r>
        <w:rPr>
          <w:rFonts w:ascii="Cambria" w:hAnsi="Cambria"/>
          <w:color w:val="auto"/>
        </w:rPr>
        <w:t xml:space="preserve">sharing model is </w:t>
      </w:r>
      <w:r w:rsidR="00D169D9">
        <w:rPr>
          <w:rFonts w:ascii="Cambria" w:hAnsi="Cambria"/>
          <w:color w:val="auto"/>
        </w:rPr>
        <w:t xml:space="preserve">usually </w:t>
      </w:r>
      <w:r w:rsidR="00E670CC">
        <w:rPr>
          <w:rFonts w:ascii="Cambria" w:hAnsi="Cambria"/>
          <w:color w:val="auto"/>
        </w:rPr>
        <w:t>employed</w:t>
      </w:r>
      <w:r w:rsidR="00620E09">
        <w:rPr>
          <w:rFonts w:ascii="Cambria" w:hAnsi="Cambria"/>
          <w:color w:val="auto"/>
        </w:rPr>
        <w:t xml:space="preserve"> when the </w:t>
      </w:r>
      <w:r w:rsidR="00E20389">
        <w:rPr>
          <w:rFonts w:ascii="Cambria" w:hAnsi="Cambria"/>
          <w:color w:val="auto"/>
        </w:rPr>
        <w:t>company has</w:t>
      </w:r>
      <w:r w:rsidR="00620E09">
        <w:rPr>
          <w:rFonts w:ascii="Cambria" w:hAnsi="Cambria"/>
          <w:color w:val="auto"/>
        </w:rPr>
        <w:t xml:space="preserve"> already</w:t>
      </w:r>
      <w:r>
        <w:rPr>
          <w:rFonts w:ascii="Cambria" w:hAnsi="Cambria"/>
          <w:color w:val="auto"/>
        </w:rPr>
        <w:t xml:space="preserve"> </w:t>
      </w:r>
      <w:r w:rsidR="00D169D9">
        <w:rPr>
          <w:rFonts w:ascii="Cambria" w:hAnsi="Cambria"/>
          <w:color w:val="auto"/>
        </w:rPr>
        <w:t>established a</w:t>
      </w:r>
      <w:r w:rsidR="00620E09">
        <w:rPr>
          <w:rFonts w:ascii="Cambria" w:hAnsi="Cambria"/>
          <w:color w:val="auto"/>
        </w:rPr>
        <w:t xml:space="preserve"> </w:t>
      </w:r>
      <w:r>
        <w:rPr>
          <w:rFonts w:ascii="Cambria" w:hAnsi="Cambria"/>
          <w:color w:val="auto"/>
        </w:rPr>
        <w:t xml:space="preserve">DR </w:t>
      </w:r>
      <w:r w:rsidR="00D169D9">
        <w:rPr>
          <w:rFonts w:ascii="Cambria" w:hAnsi="Cambria"/>
          <w:color w:val="auto"/>
        </w:rPr>
        <w:t xml:space="preserve">program </w:t>
      </w:r>
      <w:r w:rsidR="0050488E">
        <w:rPr>
          <w:rFonts w:ascii="Cambria" w:hAnsi="Cambria"/>
          <w:color w:val="auto"/>
        </w:rPr>
        <w:t>and</w:t>
      </w:r>
      <w:r>
        <w:rPr>
          <w:rFonts w:ascii="Cambria" w:hAnsi="Cambria"/>
          <w:color w:val="auto"/>
        </w:rPr>
        <w:t xml:space="preserve"> </w:t>
      </w:r>
      <w:r w:rsidR="00620E09">
        <w:rPr>
          <w:rFonts w:ascii="Cambria" w:hAnsi="Cambria"/>
          <w:color w:val="auto"/>
        </w:rPr>
        <w:t>prefer</w:t>
      </w:r>
      <w:r w:rsidR="0050488E">
        <w:rPr>
          <w:rFonts w:ascii="Cambria" w:hAnsi="Cambria"/>
          <w:color w:val="auto"/>
        </w:rPr>
        <w:t>s</w:t>
      </w:r>
      <w:r w:rsidR="00620E09">
        <w:rPr>
          <w:rFonts w:ascii="Cambria" w:hAnsi="Cambria"/>
          <w:color w:val="auto"/>
        </w:rPr>
        <w:t xml:space="preserve"> to </w:t>
      </w:r>
      <w:r>
        <w:rPr>
          <w:rFonts w:ascii="Cambria" w:hAnsi="Cambria"/>
          <w:color w:val="auto"/>
        </w:rPr>
        <w:t xml:space="preserve">change a pricing </w:t>
      </w:r>
      <w:r w:rsidR="0050488E">
        <w:rPr>
          <w:rFonts w:ascii="Cambria" w:hAnsi="Cambria"/>
          <w:color w:val="auto"/>
        </w:rPr>
        <w:t xml:space="preserve">arrangement with the depositary bank </w:t>
      </w:r>
      <w:r w:rsidR="00620E09">
        <w:rPr>
          <w:rFonts w:ascii="Cambria" w:hAnsi="Cambria"/>
          <w:color w:val="auto"/>
        </w:rPr>
        <w:t xml:space="preserve">or </w:t>
      </w:r>
      <w:r w:rsidR="00BD73F5">
        <w:rPr>
          <w:rFonts w:ascii="Cambria" w:hAnsi="Cambria"/>
          <w:color w:val="auto"/>
        </w:rPr>
        <w:t xml:space="preserve">to </w:t>
      </w:r>
      <w:r w:rsidR="00620E09">
        <w:rPr>
          <w:rFonts w:ascii="Cambria" w:hAnsi="Cambria"/>
          <w:color w:val="auto"/>
        </w:rPr>
        <w:t>re</w:t>
      </w:r>
      <w:r w:rsidR="00E20389">
        <w:rPr>
          <w:rFonts w:ascii="Cambria" w:hAnsi="Cambria"/>
          <w:color w:val="auto"/>
        </w:rPr>
        <w:t>-</w:t>
      </w:r>
      <w:r w:rsidR="00620E09">
        <w:rPr>
          <w:rFonts w:ascii="Cambria" w:hAnsi="Cambria"/>
          <w:color w:val="auto"/>
        </w:rPr>
        <w:t>appoint another</w:t>
      </w:r>
      <w:r>
        <w:rPr>
          <w:rFonts w:ascii="Cambria" w:hAnsi="Cambria"/>
          <w:color w:val="auto"/>
        </w:rPr>
        <w:t xml:space="preserve"> depositary bank. </w:t>
      </w:r>
    </w:p>
    <w:p w14:paraId="07510E5B" w14:textId="77777777" w:rsidR="00BD3309" w:rsidRDefault="00BD3309" w:rsidP="00446062">
      <w:pPr>
        <w:jc w:val="both"/>
        <w:rPr>
          <w:rFonts w:ascii="Cambria" w:hAnsi="Cambria"/>
          <w:color w:val="auto"/>
        </w:rPr>
      </w:pPr>
    </w:p>
    <w:tbl>
      <w:tblPr>
        <w:tblStyle w:val="TableGrid"/>
        <w:tblW w:w="11483" w:type="dxa"/>
        <w:tblInd w:w="-210" w:type="dxa"/>
        <w:tblLayout w:type="fixed"/>
        <w:tblLook w:val="00A0" w:firstRow="1" w:lastRow="0" w:firstColumn="1" w:lastColumn="0" w:noHBand="0" w:noVBand="0"/>
      </w:tblPr>
      <w:tblGrid>
        <w:gridCol w:w="2269"/>
        <w:gridCol w:w="2192"/>
        <w:gridCol w:w="2454"/>
        <w:gridCol w:w="2300"/>
        <w:gridCol w:w="2268"/>
      </w:tblGrid>
      <w:tr w:rsidR="000C3C94" w14:paraId="444EF497" w14:textId="080A1BBB" w:rsidTr="000C3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02B2B823" w14:textId="581E8AD5" w:rsidR="000C3C94" w:rsidRPr="000C3C94" w:rsidRDefault="000C3C94" w:rsidP="00446062">
            <w:pPr>
              <w:jc w:val="both"/>
              <w:rPr>
                <w:rFonts w:ascii="Cambria" w:hAnsi="Cambria"/>
                <w:color w:val="auto"/>
                <w:sz w:val="22"/>
              </w:rPr>
            </w:pPr>
            <w:r w:rsidRPr="000C3C94">
              <w:rPr>
                <w:rFonts w:ascii="Cambria" w:hAnsi="Cambria"/>
                <w:color w:val="auto"/>
                <w:sz w:val="22"/>
              </w:rPr>
              <w:lastRenderedPageBreak/>
              <w:t xml:space="preserve">A </w:t>
            </w:r>
            <w:r w:rsidR="00702AFF">
              <w:rPr>
                <w:rFonts w:ascii="Cambria" w:hAnsi="Cambria"/>
                <w:color w:val="auto"/>
                <w:sz w:val="22"/>
              </w:rPr>
              <w:t>S</w:t>
            </w:r>
            <w:r w:rsidRPr="000C3C94">
              <w:rPr>
                <w:rFonts w:ascii="Cambria" w:hAnsi="Cambria"/>
                <w:color w:val="auto"/>
                <w:sz w:val="22"/>
              </w:rPr>
              <w:t xml:space="preserve">hort  </w:t>
            </w:r>
            <w:r w:rsidR="00702AFF">
              <w:rPr>
                <w:rFonts w:ascii="Cambria" w:hAnsi="Cambria"/>
                <w:color w:val="auto"/>
                <w:sz w:val="22"/>
              </w:rPr>
              <w:t>O</w:t>
            </w:r>
            <w:r w:rsidRPr="000C3C94">
              <w:rPr>
                <w:rFonts w:ascii="Cambria" w:hAnsi="Cambria"/>
                <w:color w:val="auto"/>
                <w:sz w:val="22"/>
              </w:rPr>
              <w:t xml:space="preserve">verview </w:t>
            </w:r>
            <w:r>
              <w:rPr>
                <w:rFonts w:ascii="Cambria" w:hAnsi="Cambria"/>
                <w:color w:val="auto"/>
                <w:sz w:val="22"/>
              </w:rPr>
              <w:t xml:space="preserve">of </w:t>
            </w:r>
            <w:r w:rsidRPr="000C3C94">
              <w:rPr>
                <w:rFonts w:ascii="Cambria" w:hAnsi="Cambria"/>
                <w:color w:val="auto"/>
                <w:sz w:val="22"/>
              </w:rPr>
              <w:t xml:space="preserve">Reimbursement </w:t>
            </w:r>
          </w:p>
        </w:tc>
        <w:tc>
          <w:tcPr>
            <w:tcW w:w="2192" w:type="dxa"/>
          </w:tcPr>
          <w:p w14:paraId="1D4EC65F" w14:textId="77777777" w:rsidR="000C3C94" w:rsidRDefault="000C3C94" w:rsidP="0044606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noProof/>
                <w:color w:val="auto"/>
              </w:rPr>
              <w:drawing>
                <wp:anchor distT="0" distB="0" distL="114300" distR="114300" simplePos="0" relativeHeight="252070912" behindDoc="0" locked="0" layoutInCell="1" allowOverlap="1" wp14:anchorId="3A78153F" wp14:editId="4EE4A420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-22860</wp:posOffset>
                  </wp:positionV>
                  <wp:extent cx="1305560" cy="457200"/>
                  <wp:effectExtent l="0" t="0" r="0" b="0"/>
                  <wp:wrapSquare wrapText="bothSides"/>
                  <wp:docPr id="7" name="Picture 7" descr="B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NY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5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4" w:type="dxa"/>
          </w:tcPr>
          <w:p w14:paraId="721CF211" w14:textId="77777777" w:rsidR="000C3C94" w:rsidRPr="00DD43F9" w:rsidRDefault="000C3C94" w:rsidP="0044606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</w:rPr>
            </w:pPr>
            <w:r w:rsidRPr="00DD43F9">
              <w:rPr>
                <w:rFonts w:ascii="Cambria" w:hAnsi="Cambria"/>
                <w:noProof/>
                <w:color w:val="auto"/>
              </w:rPr>
              <w:drawing>
                <wp:inline distT="0" distB="0" distL="0" distR="0" wp14:anchorId="7A101256" wp14:editId="559C5D42">
                  <wp:extent cx="1217516" cy="574040"/>
                  <wp:effectExtent l="25400" t="0" r="1684" b="0"/>
                  <wp:docPr id="10" name="Picture 3" descr="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182" cy="581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14:paraId="5B7F78ED" w14:textId="77777777" w:rsidR="000C3C94" w:rsidRDefault="000C3C94" w:rsidP="0044606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noProof/>
                <w:color w:val="auto"/>
              </w:rPr>
              <w:drawing>
                <wp:inline distT="0" distB="0" distL="0" distR="0" wp14:anchorId="6AB29C18" wp14:editId="4E682606">
                  <wp:extent cx="1229360" cy="459105"/>
                  <wp:effectExtent l="0" t="0" r="0" b="0"/>
                  <wp:docPr id="9" name="Picture 4" descr="jp-morgan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-morgan-logo.gif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748" cy="4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6D68651" w14:textId="26C0ECEA" w:rsidR="000C3C94" w:rsidRDefault="000C3C94" w:rsidP="000C3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noProof/>
                <w:color w:val="auto"/>
              </w:rPr>
            </w:pPr>
            <w:r>
              <w:rPr>
                <w:rFonts w:ascii="Cambria" w:hAnsi="Cambria"/>
                <w:noProof/>
                <w:color w:val="auto"/>
              </w:rPr>
              <w:t xml:space="preserve">Citibank logo </w:t>
            </w:r>
          </w:p>
        </w:tc>
      </w:tr>
      <w:tr w:rsidR="000C3C94" w14:paraId="19012FE1" w14:textId="6EEB796F" w:rsidTr="000C3C94">
        <w:trPr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40A0C30" w14:textId="77777777" w:rsidR="000C3C94" w:rsidRPr="000C3C94" w:rsidRDefault="000C3C94" w:rsidP="00446062">
            <w:pPr>
              <w:jc w:val="both"/>
              <w:rPr>
                <w:rFonts w:ascii="Cambria" w:hAnsi="Cambria"/>
                <w:color w:val="auto"/>
                <w:sz w:val="22"/>
              </w:rPr>
            </w:pPr>
            <w:r w:rsidRPr="000C3C94">
              <w:rPr>
                <w:rFonts w:ascii="Cambria" w:hAnsi="Cambria"/>
                <w:color w:val="auto"/>
                <w:sz w:val="22"/>
              </w:rPr>
              <w:t xml:space="preserve">Revenue Sharing </w:t>
            </w:r>
          </w:p>
        </w:tc>
        <w:tc>
          <w:tcPr>
            <w:tcW w:w="2192" w:type="dxa"/>
          </w:tcPr>
          <w:p w14:paraId="30826448" w14:textId="77777777" w:rsidR="000C3C94" w:rsidRPr="000C3C94" w:rsidRDefault="000C3C94" w:rsidP="004460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2"/>
              </w:rPr>
            </w:pPr>
            <w:r w:rsidRPr="000C3C94">
              <w:rPr>
                <w:rFonts w:ascii="Cambria" w:hAnsi="Cambria"/>
                <w:color w:val="auto"/>
                <w:sz w:val="22"/>
              </w:rPr>
              <w:t>Yes (Gross)</w:t>
            </w:r>
          </w:p>
        </w:tc>
        <w:tc>
          <w:tcPr>
            <w:tcW w:w="2454" w:type="dxa"/>
          </w:tcPr>
          <w:p w14:paraId="154DE5A4" w14:textId="77777777" w:rsidR="000C3C94" w:rsidRPr="000C3C94" w:rsidRDefault="000C3C94" w:rsidP="004460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2"/>
              </w:rPr>
            </w:pPr>
            <w:r w:rsidRPr="000C3C94">
              <w:rPr>
                <w:rFonts w:ascii="Cambria" w:hAnsi="Cambria"/>
                <w:color w:val="auto"/>
                <w:sz w:val="22"/>
              </w:rPr>
              <w:t>Yes (Net)</w:t>
            </w:r>
          </w:p>
        </w:tc>
        <w:tc>
          <w:tcPr>
            <w:tcW w:w="2300" w:type="dxa"/>
          </w:tcPr>
          <w:p w14:paraId="686F82FE" w14:textId="77777777" w:rsidR="000C3C94" w:rsidRPr="000C3C94" w:rsidRDefault="000C3C94" w:rsidP="00446062">
            <w:pPr>
              <w:tabs>
                <w:tab w:val="right" w:pos="217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2"/>
              </w:rPr>
            </w:pPr>
            <w:r w:rsidRPr="000C3C94">
              <w:rPr>
                <w:rFonts w:ascii="Cambria" w:hAnsi="Cambria"/>
                <w:color w:val="auto"/>
                <w:sz w:val="22"/>
              </w:rPr>
              <w:t>Yes (Gross/Net)</w:t>
            </w:r>
            <w:r w:rsidRPr="000C3C94">
              <w:rPr>
                <w:rFonts w:ascii="Cambria" w:hAnsi="Cambria"/>
                <w:color w:val="auto"/>
                <w:sz w:val="22"/>
              </w:rPr>
              <w:tab/>
            </w:r>
          </w:p>
        </w:tc>
        <w:tc>
          <w:tcPr>
            <w:tcW w:w="2268" w:type="dxa"/>
          </w:tcPr>
          <w:p w14:paraId="5A9E9760" w14:textId="524D9730" w:rsidR="000C3C94" w:rsidRPr="000C3C94" w:rsidRDefault="000C3C94" w:rsidP="00446062">
            <w:pPr>
              <w:tabs>
                <w:tab w:val="right" w:pos="217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2"/>
              </w:rPr>
            </w:pPr>
            <w:r>
              <w:rPr>
                <w:rFonts w:ascii="Cambria" w:hAnsi="Cambria"/>
                <w:color w:val="auto"/>
                <w:sz w:val="22"/>
              </w:rPr>
              <w:t>Yes</w:t>
            </w:r>
            <w:r w:rsidR="00702AFF">
              <w:rPr>
                <w:rFonts w:ascii="Cambria" w:hAnsi="Cambria"/>
                <w:color w:val="auto"/>
                <w:sz w:val="22"/>
              </w:rPr>
              <w:t xml:space="preserve"> </w:t>
            </w:r>
            <w:r>
              <w:rPr>
                <w:rFonts w:ascii="Cambria" w:hAnsi="Cambria"/>
                <w:color w:val="auto"/>
                <w:sz w:val="22"/>
              </w:rPr>
              <w:t>(Gross/Net)</w:t>
            </w:r>
          </w:p>
        </w:tc>
      </w:tr>
      <w:tr w:rsidR="000C3C94" w14:paraId="295F9809" w14:textId="1122280D" w:rsidTr="000C3C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D9689E7" w14:textId="05ADDF89" w:rsidR="000C3C94" w:rsidRPr="000C3C94" w:rsidRDefault="000C3C94" w:rsidP="00446062">
            <w:pPr>
              <w:jc w:val="both"/>
              <w:rPr>
                <w:rFonts w:ascii="Cambria" w:hAnsi="Cambria"/>
                <w:color w:val="auto"/>
                <w:sz w:val="22"/>
              </w:rPr>
            </w:pPr>
            <w:r w:rsidRPr="000C3C94">
              <w:rPr>
                <w:rFonts w:ascii="Cambria" w:hAnsi="Cambria"/>
                <w:color w:val="auto"/>
                <w:sz w:val="22"/>
              </w:rPr>
              <w:t>Upfront Payment</w:t>
            </w:r>
          </w:p>
        </w:tc>
        <w:tc>
          <w:tcPr>
            <w:tcW w:w="2192" w:type="dxa"/>
          </w:tcPr>
          <w:p w14:paraId="7335417A" w14:textId="77777777" w:rsidR="000C3C94" w:rsidRPr="000C3C94" w:rsidRDefault="000C3C94" w:rsidP="0044606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auto"/>
                <w:sz w:val="22"/>
              </w:rPr>
            </w:pPr>
            <w:r w:rsidRPr="000C3C94">
              <w:rPr>
                <w:rFonts w:ascii="Cambria" w:hAnsi="Cambria"/>
                <w:color w:val="auto"/>
                <w:sz w:val="22"/>
              </w:rPr>
              <w:t>Yes</w:t>
            </w:r>
          </w:p>
        </w:tc>
        <w:tc>
          <w:tcPr>
            <w:tcW w:w="2454" w:type="dxa"/>
          </w:tcPr>
          <w:p w14:paraId="5D1DC800" w14:textId="77777777" w:rsidR="000C3C94" w:rsidRPr="000C3C94" w:rsidRDefault="000C3C94" w:rsidP="0044606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auto"/>
                <w:sz w:val="22"/>
              </w:rPr>
            </w:pPr>
            <w:r w:rsidRPr="000C3C94">
              <w:rPr>
                <w:rFonts w:ascii="Cambria" w:hAnsi="Cambria"/>
                <w:color w:val="auto"/>
                <w:sz w:val="22"/>
              </w:rPr>
              <w:t>Yes</w:t>
            </w:r>
          </w:p>
        </w:tc>
        <w:tc>
          <w:tcPr>
            <w:tcW w:w="2300" w:type="dxa"/>
          </w:tcPr>
          <w:p w14:paraId="5A8E8A61" w14:textId="77777777" w:rsidR="000C3C94" w:rsidRPr="000C3C94" w:rsidRDefault="000C3C94" w:rsidP="00446062">
            <w:pPr>
              <w:tabs>
                <w:tab w:val="right" w:pos="217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auto"/>
                <w:sz w:val="22"/>
              </w:rPr>
            </w:pPr>
            <w:r w:rsidRPr="000C3C94">
              <w:rPr>
                <w:rFonts w:ascii="Cambria" w:hAnsi="Cambria"/>
                <w:color w:val="auto"/>
                <w:sz w:val="22"/>
              </w:rPr>
              <w:t>Yes</w:t>
            </w:r>
          </w:p>
        </w:tc>
        <w:tc>
          <w:tcPr>
            <w:tcW w:w="2268" w:type="dxa"/>
          </w:tcPr>
          <w:p w14:paraId="66673CF5" w14:textId="2290E99C" w:rsidR="000C3C94" w:rsidRPr="000C3C94" w:rsidRDefault="000C3C94" w:rsidP="00446062">
            <w:pPr>
              <w:tabs>
                <w:tab w:val="right" w:pos="217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auto"/>
                <w:sz w:val="22"/>
              </w:rPr>
            </w:pPr>
            <w:r>
              <w:rPr>
                <w:rFonts w:ascii="Cambria" w:hAnsi="Cambria"/>
                <w:color w:val="auto"/>
                <w:sz w:val="22"/>
              </w:rPr>
              <w:t>Yes</w:t>
            </w:r>
          </w:p>
        </w:tc>
      </w:tr>
      <w:tr w:rsidR="000C3C94" w14:paraId="652D0359" w14:textId="219A72B9" w:rsidTr="000C3C94">
        <w:trPr>
          <w:trHeight w:hRule="exact" w:val="1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3586138" w14:textId="7ACB0852" w:rsidR="000C3C94" w:rsidRPr="000C3C94" w:rsidRDefault="000C3C94" w:rsidP="00C518AF">
            <w:pPr>
              <w:jc w:val="both"/>
              <w:rPr>
                <w:rFonts w:ascii="Cambria" w:eastAsiaTheme="majorEastAsia" w:hAnsi="Cambria" w:cstheme="majorBidi"/>
                <w:b/>
                <w:iCs/>
                <w:color w:val="auto"/>
                <w:spacing w:val="15"/>
                <w:sz w:val="22"/>
                <w:szCs w:val="24"/>
              </w:rPr>
            </w:pPr>
            <w:r w:rsidRPr="000C3C94">
              <w:rPr>
                <w:rFonts w:ascii="Cambria" w:hAnsi="Cambria"/>
                <w:color w:val="auto"/>
                <w:sz w:val="22"/>
              </w:rPr>
              <w:t>Payment</w:t>
            </w:r>
            <w:r w:rsidR="006B3A5C">
              <w:rPr>
                <w:rFonts w:ascii="Cambria" w:hAnsi="Cambria"/>
                <w:color w:val="auto"/>
                <w:sz w:val="22"/>
              </w:rPr>
              <w:t xml:space="preserve"> </w:t>
            </w:r>
            <w:r w:rsidRPr="000C3C94">
              <w:rPr>
                <w:rFonts w:ascii="Cambria" w:hAnsi="Cambria"/>
                <w:color w:val="auto"/>
                <w:sz w:val="22"/>
              </w:rPr>
              <w:t xml:space="preserve">to </w:t>
            </w:r>
            <w:r w:rsidR="006B3A5C">
              <w:rPr>
                <w:rFonts w:ascii="Cambria" w:hAnsi="Cambria"/>
                <w:color w:val="auto"/>
                <w:sz w:val="22"/>
              </w:rPr>
              <w:t>third-</w:t>
            </w:r>
            <w:r w:rsidRPr="000C3C94">
              <w:rPr>
                <w:rFonts w:ascii="Cambria" w:hAnsi="Cambria"/>
                <w:color w:val="auto"/>
                <w:sz w:val="22"/>
              </w:rPr>
              <w:t>party vendors</w:t>
            </w:r>
          </w:p>
        </w:tc>
        <w:tc>
          <w:tcPr>
            <w:tcW w:w="2192" w:type="dxa"/>
          </w:tcPr>
          <w:p w14:paraId="009673EB" w14:textId="77777777" w:rsidR="000C3C94" w:rsidRPr="000C3C94" w:rsidRDefault="000C3C94" w:rsidP="004460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2"/>
              </w:rPr>
            </w:pPr>
            <w:r w:rsidRPr="000C3C94">
              <w:rPr>
                <w:rFonts w:ascii="Cambria" w:hAnsi="Cambria"/>
                <w:color w:val="auto"/>
                <w:sz w:val="22"/>
              </w:rPr>
              <w:t>Yes (Flexible Rule)</w:t>
            </w:r>
          </w:p>
        </w:tc>
        <w:tc>
          <w:tcPr>
            <w:tcW w:w="2454" w:type="dxa"/>
          </w:tcPr>
          <w:p w14:paraId="26E9B84B" w14:textId="77777777" w:rsidR="000C3C94" w:rsidRPr="000C3C94" w:rsidRDefault="000C3C94" w:rsidP="004460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2"/>
              </w:rPr>
            </w:pPr>
            <w:r w:rsidRPr="000C3C94">
              <w:rPr>
                <w:rFonts w:ascii="Cambria" w:hAnsi="Cambria"/>
                <w:color w:val="auto"/>
                <w:sz w:val="22"/>
              </w:rPr>
              <w:t xml:space="preserve">Yes </w:t>
            </w:r>
          </w:p>
        </w:tc>
        <w:tc>
          <w:tcPr>
            <w:tcW w:w="2300" w:type="dxa"/>
          </w:tcPr>
          <w:p w14:paraId="6F4FD861" w14:textId="79CBF78D" w:rsidR="000C3C94" w:rsidRPr="000C3C94" w:rsidRDefault="000C3C94" w:rsidP="00C518AF">
            <w:pPr>
              <w:tabs>
                <w:tab w:val="right" w:pos="217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iCs/>
                <w:color w:val="auto"/>
                <w:spacing w:val="15"/>
                <w:sz w:val="22"/>
                <w:szCs w:val="24"/>
              </w:rPr>
            </w:pPr>
            <w:r w:rsidRPr="000C3C94">
              <w:rPr>
                <w:rFonts w:ascii="Cambria" w:hAnsi="Cambria"/>
                <w:color w:val="auto"/>
                <w:sz w:val="22"/>
              </w:rPr>
              <w:t xml:space="preserve">Yes, but with certain limitations with respect to paying to </w:t>
            </w:r>
            <w:r w:rsidR="006B3A5C">
              <w:rPr>
                <w:rFonts w:ascii="Cambria" w:hAnsi="Cambria"/>
                <w:color w:val="auto"/>
                <w:sz w:val="22"/>
              </w:rPr>
              <w:t>third-</w:t>
            </w:r>
            <w:r w:rsidRPr="000C3C94">
              <w:rPr>
                <w:rFonts w:ascii="Cambria" w:hAnsi="Cambria"/>
                <w:color w:val="auto"/>
                <w:sz w:val="22"/>
              </w:rPr>
              <w:t>party vendors)</w:t>
            </w:r>
          </w:p>
        </w:tc>
        <w:tc>
          <w:tcPr>
            <w:tcW w:w="2268" w:type="dxa"/>
          </w:tcPr>
          <w:p w14:paraId="3D2FF661" w14:textId="2C5EC8F6" w:rsidR="000C3C94" w:rsidRPr="000C3C94" w:rsidRDefault="000C3C94" w:rsidP="00446062">
            <w:pPr>
              <w:tabs>
                <w:tab w:val="right" w:pos="217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2"/>
              </w:rPr>
            </w:pPr>
            <w:r>
              <w:rPr>
                <w:rFonts w:ascii="Cambria" w:hAnsi="Cambria"/>
                <w:color w:val="auto"/>
                <w:sz w:val="22"/>
              </w:rPr>
              <w:t xml:space="preserve">Yes </w:t>
            </w:r>
          </w:p>
        </w:tc>
      </w:tr>
    </w:tbl>
    <w:p w14:paraId="0AE66A8A" w14:textId="77777777" w:rsidR="005402E6" w:rsidRDefault="005402E6" w:rsidP="00AB6CFB">
      <w:pPr>
        <w:rPr>
          <w:rFonts w:ascii="Cambria" w:hAnsi="Cambria"/>
          <w:color w:val="FF0000"/>
          <w:sz w:val="36"/>
        </w:rPr>
      </w:pPr>
    </w:p>
    <w:p w14:paraId="4491F79D" w14:textId="20E4E665" w:rsidR="006E37B1" w:rsidRPr="006E37B1" w:rsidRDefault="006B3A5C" w:rsidP="00AB6CFB">
      <w:pPr>
        <w:rPr>
          <w:rFonts w:ascii="Cambria" w:hAnsi="Cambria"/>
          <w:color w:val="FF0000"/>
          <w:sz w:val="36"/>
        </w:rPr>
      </w:pPr>
      <w:r>
        <w:rPr>
          <w:rFonts w:ascii="Cambria" w:hAnsi="Cambria"/>
          <w:color w:val="FF0000"/>
          <w:sz w:val="36"/>
        </w:rPr>
        <w:t xml:space="preserve">The </w:t>
      </w:r>
      <w:r w:rsidR="006E37B1" w:rsidRPr="006E37B1">
        <w:rPr>
          <w:rFonts w:ascii="Cambria" w:hAnsi="Cambria"/>
          <w:color w:val="FF0000"/>
          <w:sz w:val="36"/>
        </w:rPr>
        <w:t>Depositary Bank’s Revenue</w:t>
      </w:r>
    </w:p>
    <w:p w14:paraId="2ED526D1" w14:textId="012A1AEB" w:rsidR="006E37B1" w:rsidRPr="006E37B1" w:rsidRDefault="00747C50" w:rsidP="006E37B1">
      <w:pPr>
        <w:rPr>
          <w:rFonts w:ascii="Cambria" w:hAnsi="Cambria"/>
          <w:color w:val="auto"/>
        </w:rPr>
      </w:pPr>
      <w:r w:rsidRPr="00AB1096">
        <w:rPr>
          <w:rFonts w:ascii="Cambria" w:hAnsi="Cambria"/>
          <w:color w:val="auto"/>
        </w:rPr>
        <w:t xml:space="preserve">Depositary banks generate revenues </w:t>
      </w:r>
      <w:r>
        <w:rPr>
          <w:rFonts w:ascii="Cambria" w:hAnsi="Cambria"/>
          <w:color w:val="auto"/>
        </w:rPr>
        <w:t>by charging</w:t>
      </w:r>
      <w:r w:rsidRPr="00920D48">
        <w:rPr>
          <w:rFonts w:ascii="Cambria" w:hAnsi="Cambria"/>
          <w:color w:val="auto"/>
        </w:rPr>
        <w:t xml:space="preserve"> </w:t>
      </w:r>
      <w:r>
        <w:rPr>
          <w:rFonts w:ascii="Cambria" w:hAnsi="Cambria"/>
          <w:color w:val="auto"/>
        </w:rPr>
        <w:t xml:space="preserve">DR </w:t>
      </w:r>
      <w:r w:rsidR="00481970">
        <w:rPr>
          <w:rFonts w:ascii="Cambria" w:hAnsi="Cambria"/>
          <w:color w:val="auto"/>
        </w:rPr>
        <w:t>h</w:t>
      </w:r>
      <w:r>
        <w:rPr>
          <w:rFonts w:ascii="Cambria" w:hAnsi="Cambria"/>
          <w:color w:val="auto"/>
        </w:rPr>
        <w:t>olders depositary fees.</w:t>
      </w:r>
      <w:r w:rsidR="00481970">
        <w:rPr>
          <w:rFonts w:ascii="Cambria" w:hAnsi="Cambria"/>
          <w:color w:val="auto"/>
        </w:rPr>
        <w:t xml:space="preserve">  </w:t>
      </w:r>
      <w:r>
        <w:rPr>
          <w:rFonts w:ascii="Cambria" w:hAnsi="Cambria"/>
          <w:color w:val="auto"/>
        </w:rPr>
        <w:t xml:space="preserve"> All depositary fees are listed in Deposit Agreement. </w:t>
      </w:r>
      <w:r w:rsidR="00481970">
        <w:rPr>
          <w:rFonts w:ascii="Cambria" w:hAnsi="Cambria"/>
          <w:color w:val="auto"/>
        </w:rPr>
        <w:t xml:space="preserve">  </w:t>
      </w:r>
      <w:r w:rsidR="00B32047">
        <w:rPr>
          <w:rFonts w:ascii="Cambria" w:hAnsi="Cambria"/>
          <w:color w:val="auto"/>
        </w:rPr>
        <w:t xml:space="preserve">Depositary </w:t>
      </w:r>
      <w:r w:rsidR="00481970">
        <w:rPr>
          <w:rFonts w:ascii="Cambria" w:hAnsi="Cambria"/>
          <w:color w:val="auto"/>
        </w:rPr>
        <w:t>b</w:t>
      </w:r>
      <w:r w:rsidR="00B32047">
        <w:rPr>
          <w:rFonts w:ascii="Cambria" w:hAnsi="Cambria"/>
          <w:color w:val="auto"/>
        </w:rPr>
        <w:t>anks charge the following fees:</w:t>
      </w:r>
    </w:p>
    <w:p w14:paraId="423EDF2A" w14:textId="77777777" w:rsidR="00EB2A30" w:rsidRDefault="006E37B1" w:rsidP="006E37B1">
      <w:pPr>
        <w:pStyle w:val="ListParagraph"/>
        <w:numPr>
          <w:ilvl w:val="0"/>
          <w:numId w:val="30"/>
        </w:numPr>
        <w:spacing w:before="0" w:after="0"/>
        <w:rPr>
          <w:rFonts w:ascii="Cambria" w:hAnsi="Cambria"/>
          <w:color w:val="auto"/>
        </w:rPr>
      </w:pPr>
      <w:r w:rsidRPr="00EB2A30">
        <w:rPr>
          <w:rFonts w:ascii="Cambria" w:hAnsi="Cambria"/>
          <w:color w:val="auto"/>
        </w:rPr>
        <w:t>Issuance and Cancellation Fees of up to $0.05 per DR</w:t>
      </w:r>
    </w:p>
    <w:p w14:paraId="010433CA" w14:textId="77777777" w:rsidR="00EB2A30" w:rsidRDefault="006E37B1" w:rsidP="006E37B1">
      <w:pPr>
        <w:pStyle w:val="ListParagraph"/>
        <w:numPr>
          <w:ilvl w:val="0"/>
          <w:numId w:val="30"/>
        </w:numPr>
        <w:spacing w:before="0" w:after="0"/>
        <w:rPr>
          <w:rFonts w:ascii="Cambria" w:hAnsi="Cambria"/>
          <w:color w:val="auto"/>
        </w:rPr>
      </w:pPr>
      <w:r w:rsidRPr="00EB2A30">
        <w:rPr>
          <w:rFonts w:ascii="Cambria" w:hAnsi="Cambria"/>
          <w:color w:val="auto"/>
        </w:rPr>
        <w:t>Dividend Processing Fees of up to US$0.02 per DR</w:t>
      </w:r>
    </w:p>
    <w:p w14:paraId="19438495" w14:textId="341B7DA6" w:rsidR="00EB2A30" w:rsidRDefault="006E37B1" w:rsidP="006E37B1">
      <w:pPr>
        <w:pStyle w:val="ListParagraph"/>
        <w:numPr>
          <w:ilvl w:val="0"/>
          <w:numId w:val="30"/>
        </w:numPr>
        <w:spacing w:before="0" w:after="0"/>
        <w:rPr>
          <w:rFonts w:ascii="Cambria" w:hAnsi="Cambria"/>
          <w:color w:val="auto"/>
        </w:rPr>
      </w:pPr>
      <w:r w:rsidRPr="00EB2A30">
        <w:rPr>
          <w:rFonts w:ascii="Cambria" w:hAnsi="Cambria"/>
          <w:color w:val="auto"/>
        </w:rPr>
        <w:t>Depositary Service Fee</w:t>
      </w:r>
      <w:r w:rsidR="00481970">
        <w:rPr>
          <w:rFonts w:ascii="Cambria" w:hAnsi="Cambria"/>
          <w:color w:val="auto"/>
        </w:rPr>
        <w:t>s</w:t>
      </w:r>
      <w:r w:rsidRPr="00EB2A30">
        <w:rPr>
          <w:rFonts w:ascii="Cambria" w:hAnsi="Cambria"/>
          <w:color w:val="auto"/>
        </w:rPr>
        <w:t xml:space="preserve"> (“DSF”) up to US$0.02 per DR</w:t>
      </w:r>
    </w:p>
    <w:p w14:paraId="4E420472" w14:textId="47575CB2" w:rsidR="00EB2A30" w:rsidRDefault="006E37B1" w:rsidP="006E37B1">
      <w:pPr>
        <w:pStyle w:val="ListParagraph"/>
        <w:numPr>
          <w:ilvl w:val="0"/>
          <w:numId w:val="30"/>
        </w:numPr>
        <w:spacing w:before="0" w:after="0"/>
        <w:rPr>
          <w:rFonts w:ascii="Cambria" w:hAnsi="Cambria"/>
          <w:color w:val="auto"/>
        </w:rPr>
      </w:pPr>
      <w:r w:rsidRPr="00EB2A30">
        <w:rPr>
          <w:rFonts w:ascii="Cambria" w:hAnsi="Cambria"/>
          <w:color w:val="auto"/>
        </w:rPr>
        <w:t>Register Inspection Fee</w:t>
      </w:r>
      <w:r w:rsidR="00481970">
        <w:rPr>
          <w:rFonts w:ascii="Cambria" w:hAnsi="Cambria"/>
          <w:color w:val="auto"/>
        </w:rPr>
        <w:t>s</w:t>
      </w:r>
      <w:r w:rsidRPr="00EB2A30">
        <w:rPr>
          <w:rFonts w:ascii="Cambria" w:hAnsi="Cambria"/>
          <w:color w:val="auto"/>
        </w:rPr>
        <w:t xml:space="preserve"> up to $0</w:t>
      </w:r>
      <w:r w:rsidR="00481970">
        <w:rPr>
          <w:rFonts w:ascii="Cambria" w:hAnsi="Cambria"/>
          <w:color w:val="auto"/>
        </w:rPr>
        <w:t>.</w:t>
      </w:r>
      <w:r w:rsidRPr="00EB2A30">
        <w:rPr>
          <w:rFonts w:ascii="Cambria" w:hAnsi="Cambria"/>
          <w:color w:val="auto"/>
        </w:rPr>
        <w:t>01 per DR</w:t>
      </w:r>
    </w:p>
    <w:p w14:paraId="336E12C2" w14:textId="7F52DFEF" w:rsidR="00481970" w:rsidRPr="00EB2A30" w:rsidRDefault="006E37B1" w:rsidP="006E37B1">
      <w:pPr>
        <w:pStyle w:val="ListParagraph"/>
        <w:numPr>
          <w:ilvl w:val="0"/>
          <w:numId w:val="30"/>
        </w:numPr>
        <w:spacing w:before="0" w:after="0"/>
        <w:rPr>
          <w:rFonts w:ascii="Cambria" w:hAnsi="Cambria"/>
          <w:color w:val="auto"/>
        </w:rPr>
      </w:pPr>
      <w:r w:rsidRPr="00EB2A30">
        <w:rPr>
          <w:rFonts w:ascii="Cambria" w:hAnsi="Cambria"/>
          <w:color w:val="auto"/>
        </w:rPr>
        <w:t>Tax Reclamation Fee</w:t>
      </w:r>
      <w:r w:rsidR="00481970">
        <w:rPr>
          <w:rFonts w:ascii="Cambria" w:hAnsi="Cambria"/>
          <w:color w:val="auto"/>
        </w:rPr>
        <w:t>s</w:t>
      </w:r>
      <w:r w:rsidRPr="00EB2A30">
        <w:rPr>
          <w:rFonts w:ascii="Cambria" w:hAnsi="Cambria"/>
          <w:color w:val="auto"/>
        </w:rPr>
        <w:t xml:space="preserve"> up to $0</w:t>
      </w:r>
      <w:r w:rsidR="00481970">
        <w:rPr>
          <w:rFonts w:ascii="Cambria" w:hAnsi="Cambria"/>
          <w:color w:val="auto"/>
        </w:rPr>
        <w:t>.</w:t>
      </w:r>
      <w:r w:rsidRPr="00EB2A30">
        <w:rPr>
          <w:rFonts w:ascii="Cambria" w:hAnsi="Cambria"/>
          <w:color w:val="auto"/>
        </w:rPr>
        <w:t>005 per DR</w:t>
      </w:r>
      <w:r w:rsidR="00B23617">
        <w:rPr>
          <w:rFonts w:ascii="Cambria" w:hAnsi="Cambria"/>
          <w:color w:val="auto"/>
        </w:rPr>
        <w:t>.</w:t>
      </w:r>
    </w:p>
    <w:p w14:paraId="73207EF8" w14:textId="77777777" w:rsidR="000C3C94" w:rsidRPr="00C518AF" w:rsidRDefault="000C3C94" w:rsidP="00C518AF">
      <w:pPr>
        <w:pStyle w:val="ListParagraph"/>
        <w:spacing w:before="0" w:after="0"/>
        <w:rPr>
          <w:rFonts w:ascii="Cambria" w:hAnsi="Cambria"/>
          <w:color w:val="auto"/>
        </w:rPr>
      </w:pPr>
    </w:p>
    <w:p w14:paraId="332D43D6" w14:textId="098CB541" w:rsidR="00EB2A30" w:rsidRPr="00D27916" w:rsidRDefault="006E37B1" w:rsidP="00A3777B">
      <w:pPr>
        <w:jc w:val="both"/>
        <w:rPr>
          <w:rFonts w:ascii="Cambria" w:hAnsi="Cambria"/>
          <w:color w:val="auto"/>
        </w:rPr>
      </w:pPr>
      <w:r w:rsidRPr="00D27916">
        <w:rPr>
          <w:rFonts w:ascii="Cambria" w:hAnsi="Cambria"/>
          <w:color w:val="auto"/>
        </w:rPr>
        <w:t>Not all fees are fully transparent and disclosed to companies and DR holders</w:t>
      </w:r>
      <w:r w:rsidR="00112C56">
        <w:rPr>
          <w:rFonts w:ascii="Cambria" w:hAnsi="Cambria"/>
          <w:color w:val="auto"/>
        </w:rPr>
        <w:t>,</w:t>
      </w:r>
      <w:r w:rsidRPr="00D27916">
        <w:rPr>
          <w:rFonts w:ascii="Cambria" w:hAnsi="Cambria"/>
          <w:color w:val="auto"/>
        </w:rPr>
        <w:t xml:space="preserve"> especially when a fina</w:t>
      </w:r>
      <w:r w:rsidR="00EB2A30" w:rsidRPr="00D27916">
        <w:rPr>
          <w:rFonts w:ascii="Cambria" w:hAnsi="Cambria"/>
          <w:color w:val="auto"/>
        </w:rPr>
        <w:t>ncial reimbursement is tied to</w:t>
      </w:r>
      <w:r w:rsidRPr="00D27916">
        <w:rPr>
          <w:rFonts w:ascii="Cambria" w:hAnsi="Cambria"/>
          <w:color w:val="auto"/>
        </w:rPr>
        <w:t xml:space="preserve"> </w:t>
      </w:r>
      <w:r w:rsidR="00112C56">
        <w:rPr>
          <w:rFonts w:ascii="Cambria" w:hAnsi="Cambria"/>
          <w:color w:val="auto"/>
        </w:rPr>
        <w:t xml:space="preserve">the </w:t>
      </w:r>
      <w:r w:rsidRPr="00D27916">
        <w:rPr>
          <w:rFonts w:ascii="Cambria" w:hAnsi="Cambria"/>
          <w:color w:val="auto"/>
        </w:rPr>
        <w:t>depositary bank’s reven</w:t>
      </w:r>
      <w:r w:rsidR="00B32047">
        <w:rPr>
          <w:rFonts w:ascii="Cambria" w:hAnsi="Cambria"/>
          <w:color w:val="auto"/>
        </w:rPr>
        <w:t xml:space="preserve">ue. </w:t>
      </w:r>
      <w:r w:rsidR="00112C56">
        <w:rPr>
          <w:rFonts w:ascii="Cambria" w:hAnsi="Cambria"/>
          <w:color w:val="auto"/>
        </w:rPr>
        <w:t xml:space="preserve">  </w:t>
      </w:r>
      <w:r w:rsidR="00B32047">
        <w:rPr>
          <w:rFonts w:ascii="Cambria" w:hAnsi="Cambria"/>
          <w:color w:val="auto"/>
        </w:rPr>
        <w:t>If the</w:t>
      </w:r>
      <w:r w:rsidR="000F5145">
        <w:rPr>
          <w:rFonts w:ascii="Cambria" w:hAnsi="Cambria"/>
          <w:color w:val="auto"/>
        </w:rPr>
        <w:t xml:space="preserve"> depositary bank</w:t>
      </w:r>
      <w:r w:rsidR="00EB2A30" w:rsidRPr="00D27916">
        <w:rPr>
          <w:rFonts w:ascii="Cambria" w:hAnsi="Cambria"/>
          <w:color w:val="auto"/>
        </w:rPr>
        <w:t xml:space="preserve"> allocates</w:t>
      </w:r>
      <w:r w:rsidRPr="00D27916">
        <w:rPr>
          <w:rFonts w:ascii="Cambria" w:hAnsi="Cambria"/>
          <w:color w:val="auto"/>
        </w:rPr>
        <w:t xml:space="preserve"> </w:t>
      </w:r>
      <w:r w:rsidR="005E7995">
        <w:rPr>
          <w:rFonts w:ascii="Cambria" w:hAnsi="Cambria"/>
          <w:color w:val="auto"/>
        </w:rPr>
        <w:t xml:space="preserve">a </w:t>
      </w:r>
      <w:r w:rsidRPr="00D27916">
        <w:rPr>
          <w:rFonts w:ascii="Cambria" w:hAnsi="Cambria"/>
          <w:color w:val="auto"/>
        </w:rPr>
        <w:t xml:space="preserve">percentage from its revenue </w:t>
      </w:r>
      <w:r w:rsidR="00EB2A30" w:rsidRPr="00D27916">
        <w:rPr>
          <w:rFonts w:ascii="Cambria" w:hAnsi="Cambria"/>
          <w:color w:val="auto"/>
        </w:rPr>
        <w:t xml:space="preserve">to </w:t>
      </w:r>
      <w:r w:rsidRPr="00D27916">
        <w:rPr>
          <w:rFonts w:ascii="Cambria" w:hAnsi="Cambria"/>
          <w:color w:val="auto"/>
        </w:rPr>
        <w:t xml:space="preserve">the company, </w:t>
      </w:r>
      <w:r w:rsidR="00112C56">
        <w:rPr>
          <w:rFonts w:ascii="Cambria" w:hAnsi="Cambria"/>
          <w:color w:val="auto"/>
        </w:rPr>
        <w:t xml:space="preserve">the </w:t>
      </w:r>
      <w:r w:rsidRPr="00D27916">
        <w:rPr>
          <w:rFonts w:ascii="Cambria" w:hAnsi="Cambria"/>
          <w:color w:val="auto"/>
        </w:rPr>
        <w:t>dep</w:t>
      </w:r>
      <w:r w:rsidR="00B32047">
        <w:rPr>
          <w:rFonts w:ascii="Cambria" w:hAnsi="Cambria"/>
          <w:color w:val="auto"/>
        </w:rPr>
        <w:t xml:space="preserve">ositary bank </w:t>
      </w:r>
      <w:r w:rsidR="00112C56">
        <w:rPr>
          <w:rFonts w:ascii="Cambria" w:hAnsi="Cambria"/>
          <w:color w:val="auto"/>
        </w:rPr>
        <w:t xml:space="preserve">has an incentive </w:t>
      </w:r>
      <w:r w:rsidR="00B32047">
        <w:rPr>
          <w:rFonts w:ascii="Cambria" w:hAnsi="Cambria"/>
          <w:color w:val="auto"/>
        </w:rPr>
        <w:t>to disclose the smallest revenue amount possible</w:t>
      </w:r>
      <w:r w:rsidRPr="00D27916">
        <w:rPr>
          <w:rFonts w:ascii="Cambria" w:hAnsi="Cambria"/>
          <w:color w:val="auto"/>
        </w:rPr>
        <w:t xml:space="preserve">. </w:t>
      </w:r>
      <w:r w:rsidR="00EB2A30" w:rsidRPr="00D27916">
        <w:rPr>
          <w:rFonts w:ascii="Cambria" w:hAnsi="Cambria"/>
          <w:color w:val="auto"/>
        </w:rPr>
        <w:t>There are several ways</w:t>
      </w:r>
      <w:r w:rsidR="00B32047">
        <w:rPr>
          <w:rFonts w:ascii="Cambria" w:hAnsi="Cambria"/>
          <w:color w:val="auto"/>
        </w:rPr>
        <w:t xml:space="preserve"> the depositary bank can</w:t>
      </w:r>
      <w:r w:rsidR="00EB2A30" w:rsidRPr="00D27916">
        <w:rPr>
          <w:rFonts w:ascii="Cambria" w:hAnsi="Cambria"/>
          <w:color w:val="auto"/>
        </w:rPr>
        <w:t xml:space="preserve"> </w:t>
      </w:r>
      <w:r w:rsidR="00B32047">
        <w:rPr>
          <w:rFonts w:ascii="Cambria" w:hAnsi="Cambria"/>
          <w:color w:val="auto"/>
        </w:rPr>
        <w:t>manipulate its revenue figu</w:t>
      </w:r>
      <w:r w:rsidR="00823973">
        <w:rPr>
          <w:rFonts w:ascii="Cambria" w:hAnsi="Cambria"/>
          <w:color w:val="auto"/>
        </w:rPr>
        <w:t>res</w:t>
      </w:r>
      <w:r w:rsidR="00EB2A30" w:rsidRPr="00D27916">
        <w:rPr>
          <w:rFonts w:ascii="Cambria" w:hAnsi="Cambria"/>
          <w:color w:val="auto"/>
        </w:rPr>
        <w:t xml:space="preserve">. </w:t>
      </w:r>
    </w:p>
    <w:p w14:paraId="6A903CF6" w14:textId="7612244D" w:rsidR="00EB2A30" w:rsidRPr="00D27916" w:rsidRDefault="00BC5E7E" w:rsidP="00A3777B">
      <w:pPr>
        <w:tabs>
          <w:tab w:val="left" w:pos="0"/>
        </w:tabs>
        <w:jc w:val="both"/>
        <w:rPr>
          <w:rFonts w:ascii="Cambria" w:hAnsi="Cambria"/>
          <w:color w:val="auto"/>
        </w:rPr>
      </w:pPr>
      <w:r w:rsidRPr="00D27916">
        <w:rPr>
          <w:rFonts w:ascii="Cambria" w:hAnsi="Cambria"/>
          <w:b/>
          <w:color w:val="auto"/>
          <w:u w:val="single"/>
        </w:rPr>
        <w:t xml:space="preserve">a) </w:t>
      </w:r>
      <w:r w:rsidR="00411AEB" w:rsidRPr="00D27916">
        <w:rPr>
          <w:rFonts w:ascii="Cambria" w:hAnsi="Cambria"/>
          <w:b/>
          <w:color w:val="auto"/>
          <w:u w:val="single"/>
        </w:rPr>
        <w:t>C</w:t>
      </w:r>
      <w:r w:rsidR="00EB2A30" w:rsidRPr="00D27916">
        <w:rPr>
          <w:rFonts w:ascii="Cambria" w:hAnsi="Cambria"/>
          <w:b/>
          <w:color w:val="auto"/>
          <w:u w:val="single"/>
        </w:rPr>
        <w:t>ross</w:t>
      </w:r>
      <w:r w:rsidR="00411AEB" w:rsidRPr="00D27916">
        <w:rPr>
          <w:rFonts w:ascii="Cambria" w:hAnsi="Cambria"/>
          <w:b/>
          <w:color w:val="auto"/>
          <w:u w:val="single"/>
        </w:rPr>
        <w:t>-B</w:t>
      </w:r>
      <w:r w:rsidR="00EB2A30" w:rsidRPr="00D27916">
        <w:rPr>
          <w:rFonts w:ascii="Cambria" w:hAnsi="Cambria"/>
          <w:b/>
          <w:color w:val="auto"/>
          <w:u w:val="single"/>
        </w:rPr>
        <w:t xml:space="preserve">order </w:t>
      </w:r>
      <w:r w:rsidR="002A12B6">
        <w:rPr>
          <w:rFonts w:ascii="Cambria" w:hAnsi="Cambria"/>
          <w:b/>
          <w:color w:val="auto"/>
          <w:u w:val="single"/>
        </w:rPr>
        <w:t>Activities</w:t>
      </w:r>
      <w:r w:rsidR="00EB2A30" w:rsidRPr="00D27916">
        <w:rPr>
          <w:rFonts w:ascii="Cambria" w:hAnsi="Cambria"/>
          <w:color w:val="auto"/>
        </w:rPr>
        <w:t xml:space="preserve">: </w:t>
      </w:r>
    </w:p>
    <w:p w14:paraId="3A7F8980" w14:textId="39F98217" w:rsidR="00411AEB" w:rsidRPr="00C223BC" w:rsidRDefault="00666AE4" w:rsidP="00A3777B">
      <w:pPr>
        <w:jc w:val="both"/>
        <w:rPr>
          <w:rFonts w:ascii="Cambria" w:hAnsi="Cambria"/>
          <w:color w:val="auto"/>
        </w:rPr>
      </w:pPr>
      <w:r w:rsidRPr="00C223BC">
        <w:rPr>
          <w:rFonts w:ascii="Cambria" w:hAnsi="Cambria"/>
          <w:color w:val="auto"/>
        </w:rPr>
        <w:t>W</w:t>
      </w:r>
      <w:r w:rsidR="00EB2A30" w:rsidRPr="00C223BC">
        <w:rPr>
          <w:rFonts w:ascii="Cambria" w:hAnsi="Cambria"/>
          <w:color w:val="auto"/>
        </w:rPr>
        <w:t xml:space="preserve">hen a broker deposits a large block of underlying shares </w:t>
      </w:r>
      <w:r w:rsidR="00EF70E7">
        <w:rPr>
          <w:rFonts w:ascii="Cambria" w:hAnsi="Cambria"/>
          <w:color w:val="auto"/>
        </w:rPr>
        <w:t xml:space="preserve">to </w:t>
      </w:r>
      <w:r w:rsidR="0050488E">
        <w:rPr>
          <w:rFonts w:ascii="Cambria" w:hAnsi="Cambria"/>
          <w:color w:val="auto"/>
        </w:rPr>
        <w:t>issu</w:t>
      </w:r>
      <w:r w:rsidR="00EF70E7">
        <w:rPr>
          <w:rFonts w:ascii="Cambria" w:hAnsi="Cambria"/>
          <w:color w:val="auto"/>
        </w:rPr>
        <w:t>e</w:t>
      </w:r>
      <w:r w:rsidR="0050488E">
        <w:rPr>
          <w:rFonts w:ascii="Cambria" w:hAnsi="Cambria"/>
          <w:color w:val="auto"/>
        </w:rPr>
        <w:t xml:space="preserve"> </w:t>
      </w:r>
      <w:r w:rsidR="00EB2A30" w:rsidRPr="00C223BC">
        <w:rPr>
          <w:rFonts w:ascii="Cambria" w:hAnsi="Cambria"/>
          <w:color w:val="auto"/>
        </w:rPr>
        <w:t xml:space="preserve">DRs, he </w:t>
      </w:r>
      <w:r w:rsidR="00EF70E7">
        <w:rPr>
          <w:rFonts w:ascii="Cambria" w:hAnsi="Cambria"/>
          <w:color w:val="auto"/>
        </w:rPr>
        <w:t xml:space="preserve">or she </w:t>
      </w:r>
      <w:r w:rsidR="00EB2A30" w:rsidRPr="00C223BC">
        <w:rPr>
          <w:rFonts w:ascii="Cambria" w:hAnsi="Cambria"/>
          <w:color w:val="auto"/>
        </w:rPr>
        <w:t>always ask</w:t>
      </w:r>
      <w:r w:rsidR="00823973">
        <w:rPr>
          <w:rFonts w:ascii="Cambria" w:hAnsi="Cambria"/>
          <w:color w:val="auto"/>
        </w:rPr>
        <w:t xml:space="preserve">s for a discount on the </w:t>
      </w:r>
      <w:r w:rsidRPr="00C223BC">
        <w:rPr>
          <w:rFonts w:ascii="Cambria" w:hAnsi="Cambria"/>
          <w:color w:val="auto"/>
        </w:rPr>
        <w:t>issuance fee from the</w:t>
      </w:r>
      <w:r w:rsidR="00EB2A30" w:rsidRPr="00C223BC">
        <w:rPr>
          <w:rFonts w:ascii="Cambria" w:hAnsi="Cambria"/>
          <w:color w:val="auto"/>
        </w:rPr>
        <w:t xml:space="preserve"> depositary bank. </w:t>
      </w:r>
      <w:r w:rsidR="00516D23">
        <w:rPr>
          <w:rFonts w:ascii="Cambria" w:hAnsi="Cambria"/>
          <w:color w:val="auto"/>
        </w:rPr>
        <w:t xml:space="preserve"> </w:t>
      </w:r>
      <w:r w:rsidR="00EF70E7">
        <w:rPr>
          <w:rFonts w:ascii="Cambria" w:hAnsi="Cambria"/>
          <w:color w:val="auto"/>
        </w:rPr>
        <w:t xml:space="preserve"> </w:t>
      </w:r>
      <w:r w:rsidR="00EB2A30" w:rsidRPr="00C223BC">
        <w:rPr>
          <w:rFonts w:ascii="Cambria" w:hAnsi="Cambria"/>
          <w:color w:val="auto"/>
        </w:rPr>
        <w:t xml:space="preserve">If the block trade exceeds </w:t>
      </w:r>
      <w:r w:rsidRPr="00C223BC">
        <w:rPr>
          <w:rFonts w:ascii="Cambria" w:hAnsi="Cambria"/>
          <w:color w:val="auto"/>
        </w:rPr>
        <w:t xml:space="preserve">a value </w:t>
      </w:r>
      <w:r w:rsidR="00516D23">
        <w:rPr>
          <w:rFonts w:ascii="Cambria" w:hAnsi="Cambria"/>
          <w:color w:val="auto"/>
        </w:rPr>
        <w:t xml:space="preserve">of </w:t>
      </w:r>
      <w:r w:rsidR="00EB2A30" w:rsidRPr="00C223BC">
        <w:rPr>
          <w:rFonts w:ascii="Cambria" w:hAnsi="Cambria"/>
          <w:color w:val="auto"/>
        </w:rPr>
        <w:t>more than $100 million</w:t>
      </w:r>
      <w:r w:rsidR="00823973">
        <w:rPr>
          <w:rFonts w:ascii="Cambria" w:hAnsi="Cambria"/>
          <w:color w:val="auto"/>
        </w:rPr>
        <w:t xml:space="preserve">, the depositary bank can </w:t>
      </w:r>
      <w:r w:rsidRPr="00C223BC">
        <w:rPr>
          <w:rFonts w:ascii="Cambria" w:hAnsi="Cambria"/>
          <w:color w:val="auto"/>
        </w:rPr>
        <w:t>discount</w:t>
      </w:r>
      <w:r w:rsidR="00780675" w:rsidRPr="00C223BC">
        <w:rPr>
          <w:rFonts w:ascii="Cambria" w:hAnsi="Cambria"/>
          <w:color w:val="auto"/>
        </w:rPr>
        <w:t xml:space="preserve"> its fee from $0</w:t>
      </w:r>
      <w:r w:rsidR="00EF70E7">
        <w:rPr>
          <w:rFonts w:ascii="Cambria" w:hAnsi="Cambria"/>
          <w:color w:val="auto"/>
        </w:rPr>
        <w:t>.</w:t>
      </w:r>
      <w:r w:rsidR="00780675" w:rsidRPr="00C223BC">
        <w:rPr>
          <w:rFonts w:ascii="Cambria" w:hAnsi="Cambria"/>
          <w:color w:val="auto"/>
        </w:rPr>
        <w:t>05</w:t>
      </w:r>
      <w:r w:rsidRPr="00C223BC">
        <w:rPr>
          <w:rFonts w:ascii="Cambria" w:hAnsi="Cambria"/>
          <w:color w:val="auto"/>
        </w:rPr>
        <w:t xml:space="preserve"> </w:t>
      </w:r>
      <w:r w:rsidR="00780675" w:rsidRPr="00C223BC">
        <w:rPr>
          <w:rFonts w:ascii="Cambria" w:hAnsi="Cambria"/>
          <w:color w:val="auto"/>
        </w:rPr>
        <w:t>to $0</w:t>
      </w:r>
      <w:r w:rsidR="00EF70E7">
        <w:rPr>
          <w:rFonts w:ascii="Cambria" w:hAnsi="Cambria"/>
          <w:color w:val="auto"/>
        </w:rPr>
        <w:t>.</w:t>
      </w:r>
      <w:r w:rsidR="00780675" w:rsidRPr="00C223BC">
        <w:rPr>
          <w:rFonts w:ascii="Cambria" w:hAnsi="Cambria"/>
          <w:color w:val="auto"/>
        </w:rPr>
        <w:t xml:space="preserve">03 </w:t>
      </w:r>
      <w:r w:rsidR="00EB2A30" w:rsidRPr="00C223BC">
        <w:rPr>
          <w:rFonts w:ascii="Cambria" w:hAnsi="Cambria"/>
          <w:color w:val="auto"/>
        </w:rPr>
        <w:t>per DR.</w:t>
      </w:r>
      <w:r w:rsidRPr="00C223BC">
        <w:rPr>
          <w:rFonts w:ascii="Cambria" w:hAnsi="Cambria"/>
          <w:color w:val="auto"/>
        </w:rPr>
        <w:t xml:space="preserve"> </w:t>
      </w:r>
      <w:r w:rsidR="00EB2A30" w:rsidRPr="00C223BC">
        <w:rPr>
          <w:rFonts w:ascii="Cambria" w:hAnsi="Cambria"/>
          <w:color w:val="auto"/>
        </w:rPr>
        <w:t xml:space="preserve"> </w:t>
      </w:r>
      <w:r w:rsidR="00EF70E7">
        <w:rPr>
          <w:rFonts w:ascii="Cambria" w:hAnsi="Cambria"/>
          <w:color w:val="auto"/>
        </w:rPr>
        <w:t xml:space="preserve"> </w:t>
      </w:r>
      <w:r w:rsidR="00411AEB" w:rsidRPr="00C223BC">
        <w:rPr>
          <w:rFonts w:ascii="Cambria" w:hAnsi="Cambria"/>
          <w:color w:val="auto"/>
        </w:rPr>
        <w:t>Th</w:t>
      </w:r>
      <w:r w:rsidR="0050488E">
        <w:rPr>
          <w:rFonts w:ascii="Cambria" w:hAnsi="Cambria"/>
          <w:color w:val="auto"/>
        </w:rPr>
        <w:t xml:space="preserve">e </w:t>
      </w:r>
      <w:r w:rsidR="00EF70E7">
        <w:rPr>
          <w:rFonts w:ascii="Cambria" w:hAnsi="Cambria"/>
          <w:color w:val="auto"/>
        </w:rPr>
        <w:t xml:space="preserve">size </w:t>
      </w:r>
      <w:r w:rsidR="0050488E">
        <w:rPr>
          <w:rFonts w:ascii="Cambria" w:hAnsi="Cambria"/>
          <w:color w:val="auto"/>
        </w:rPr>
        <w:t xml:space="preserve">of the fee scale </w:t>
      </w:r>
      <w:r w:rsidR="00EF70E7">
        <w:rPr>
          <w:rFonts w:ascii="Cambria" w:hAnsi="Cambria"/>
          <w:color w:val="auto"/>
        </w:rPr>
        <w:t xml:space="preserve">depends </w:t>
      </w:r>
      <w:r w:rsidR="0050488E">
        <w:rPr>
          <w:rFonts w:ascii="Cambria" w:hAnsi="Cambria"/>
          <w:color w:val="auto"/>
        </w:rPr>
        <w:t xml:space="preserve">on the </w:t>
      </w:r>
      <w:r w:rsidRPr="00C223BC">
        <w:rPr>
          <w:rFonts w:ascii="Cambria" w:hAnsi="Cambria"/>
          <w:color w:val="auto"/>
        </w:rPr>
        <w:t>value of the trade</w:t>
      </w:r>
      <w:r w:rsidR="0050488E">
        <w:rPr>
          <w:rFonts w:ascii="Cambria" w:hAnsi="Cambria"/>
          <w:color w:val="auto"/>
        </w:rPr>
        <w:t>.</w:t>
      </w:r>
      <w:r w:rsidRPr="00C223BC">
        <w:rPr>
          <w:rFonts w:ascii="Cambria" w:hAnsi="Cambria"/>
          <w:color w:val="auto"/>
        </w:rPr>
        <w:t xml:space="preserve">  Every depositary bank has its own fee scale for the issuance fee</w:t>
      </w:r>
      <w:r w:rsidR="00823973">
        <w:rPr>
          <w:rFonts w:ascii="Cambria" w:hAnsi="Cambria"/>
          <w:color w:val="auto"/>
        </w:rPr>
        <w:t>, but they are relatively same</w:t>
      </w:r>
      <w:r w:rsidRPr="00C223BC">
        <w:rPr>
          <w:rFonts w:ascii="Cambria" w:hAnsi="Cambria"/>
          <w:color w:val="auto"/>
        </w:rPr>
        <w:t xml:space="preserve">. </w:t>
      </w:r>
    </w:p>
    <w:p w14:paraId="49CACF10" w14:textId="24D73D81" w:rsidR="0001446B" w:rsidRDefault="00780675" w:rsidP="00F57F50">
      <w:pPr>
        <w:jc w:val="both"/>
        <w:rPr>
          <w:rFonts w:ascii="Cambria" w:hAnsi="Cambria"/>
          <w:color w:val="auto"/>
        </w:rPr>
      </w:pPr>
      <w:r w:rsidRPr="00C223BC">
        <w:rPr>
          <w:rFonts w:ascii="Cambria" w:hAnsi="Cambria"/>
          <w:color w:val="auto"/>
        </w:rPr>
        <w:lastRenderedPageBreak/>
        <w:t>At the end of a calendar year</w:t>
      </w:r>
      <w:r w:rsidR="00A57B6D">
        <w:rPr>
          <w:rFonts w:ascii="Cambria" w:hAnsi="Cambria"/>
          <w:color w:val="auto"/>
        </w:rPr>
        <w:t>,</w:t>
      </w:r>
      <w:r w:rsidRPr="00C223BC">
        <w:rPr>
          <w:rFonts w:ascii="Cambria" w:hAnsi="Cambria"/>
          <w:color w:val="auto"/>
        </w:rPr>
        <w:t xml:space="preserve"> w</w:t>
      </w:r>
      <w:r w:rsidR="00666AE4" w:rsidRPr="00C223BC">
        <w:rPr>
          <w:rFonts w:ascii="Cambria" w:hAnsi="Cambria"/>
          <w:color w:val="auto"/>
        </w:rPr>
        <w:t>hen a depositary bank</w:t>
      </w:r>
      <w:r w:rsidR="00A57B6D">
        <w:rPr>
          <w:rFonts w:ascii="Cambria" w:hAnsi="Cambria"/>
          <w:color w:val="auto"/>
        </w:rPr>
        <w:t xml:space="preserve"> can reconcile</w:t>
      </w:r>
      <w:r w:rsidR="00666AE4" w:rsidRPr="00C223BC">
        <w:rPr>
          <w:rFonts w:ascii="Cambria" w:hAnsi="Cambria"/>
          <w:color w:val="auto"/>
        </w:rPr>
        <w:t xml:space="preserve"> gross revenue to calculate a re</w:t>
      </w:r>
      <w:r w:rsidR="00411AEB" w:rsidRPr="00C223BC">
        <w:rPr>
          <w:rFonts w:ascii="Cambria" w:hAnsi="Cambria"/>
          <w:color w:val="auto"/>
        </w:rPr>
        <w:t>imbursement amount</w:t>
      </w:r>
      <w:r w:rsidR="00666AE4" w:rsidRPr="00C223BC">
        <w:rPr>
          <w:rFonts w:ascii="Cambria" w:hAnsi="Cambria"/>
          <w:color w:val="auto"/>
        </w:rPr>
        <w:t>, the depositary bank will average the issuance fee by t</w:t>
      </w:r>
      <w:r w:rsidR="00411AEB" w:rsidRPr="00C223BC">
        <w:rPr>
          <w:rFonts w:ascii="Cambria" w:hAnsi="Cambria"/>
          <w:color w:val="auto"/>
        </w:rPr>
        <w:t xml:space="preserve">aking the smallest </w:t>
      </w:r>
      <w:r w:rsidR="00823973">
        <w:rPr>
          <w:rFonts w:ascii="Cambria" w:hAnsi="Cambria"/>
          <w:color w:val="auto"/>
        </w:rPr>
        <w:t xml:space="preserve">fee </w:t>
      </w:r>
      <w:r w:rsidR="00411AEB" w:rsidRPr="00C223BC">
        <w:rPr>
          <w:rFonts w:ascii="Cambria" w:hAnsi="Cambria"/>
          <w:color w:val="auto"/>
        </w:rPr>
        <w:t>for the p</w:t>
      </w:r>
      <w:r w:rsidR="00666AE4" w:rsidRPr="00C223BC">
        <w:rPr>
          <w:rFonts w:ascii="Cambria" w:hAnsi="Cambria"/>
          <w:color w:val="auto"/>
        </w:rPr>
        <w:t>ast 12 month</w:t>
      </w:r>
      <w:r w:rsidR="00411AEB" w:rsidRPr="00C223BC">
        <w:rPr>
          <w:rFonts w:ascii="Cambria" w:hAnsi="Cambria"/>
          <w:color w:val="auto"/>
        </w:rPr>
        <w:t>s</w:t>
      </w:r>
      <w:r w:rsidR="00666AE4" w:rsidRPr="00C223BC">
        <w:rPr>
          <w:rFonts w:ascii="Cambria" w:hAnsi="Cambria"/>
          <w:color w:val="auto"/>
        </w:rPr>
        <w:t xml:space="preserve">. </w:t>
      </w:r>
      <w:r w:rsidR="00A57B6D">
        <w:rPr>
          <w:rFonts w:ascii="Cambria" w:hAnsi="Cambria"/>
          <w:color w:val="auto"/>
        </w:rPr>
        <w:t xml:space="preserve"> </w:t>
      </w:r>
      <w:r w:rsidR="00666AE4" w:rsidRPr="00C223BC">
        <w:rPr>
          <w:rFonts w:ascii="Cambria" w:hAnsi="Cambria"/>
          <w:color w:val="auto"/>
        </w:rPr>
        <w:t>It</w:t>
      </w:r>
      <w:r w:rsidR="00A57B6D">
        <w:rPr>
          <w:rFonts w:ascii="Cambria" w:hAnsi="Cambria"/>
          <w:color w:val="auto"/>
        </w:rPr>
        <w:t xml:space="preserve"> i</w:t>
      </w:r>
      <w:r w:rsidR="00666AE4" w:rsidRPr="00C223BC">
        <w:rPr>
          <w:rFonts w:ascii="Cambria" w:hAnsi="Cambria"/>
          <w:color w:val="auto"/>
        </w:rPr>
        <w:t>s almost imposs</w:t>
      </w:r>
      <w:r w:rsidR="00823973">
        <w:rPr>
          <w:rFonts w:ascii="Cambria" w:hAnsi="Cambria"/>
          <w:color w:val="auto"/>
        </w:rPr>
        <w:t>ible for the company to verify the</w:t>
      </w:r>
      <w:r w:rsidR="00666AE4" w:rsidRPr="00C223BC">
        <w:rPr>
          <w:rFonts w:ascii="Cambria" w:hAnsi="Cambria"/>
          <w:color w:val="auto"/>
        </w:rPr>
        <w:t xml:space="preserve"> depositary bank’s revenue derived from </w:t>
      </w:r>
      <w:r w:rsidR="00823973">
        <w:rPr>
          <w:rFonts w:ascii="Cambria" w:hAnsi="Cambria"/>
          <w:color w:val="auto"/>
        </w:rPr>
        <w:t>cross</w:t>
      </w:r>
      <w:r w:rsidR="00A57B6D">
        <w:rPr>
          <w:rFonts w:ascii="Cambria" w:hAnsi="Cambria"/>
          <w:color w:val="auto"/>
        </w:rPr>
        <w:t>-</w:t>
      </w:r>
      <w:r w:rsidR="00823973">
        <w:rPr>
          <w:rFonts w:ascii="Cambria" w:hAnsi="Cambria"/>
          <w:color w:val="auto"/>
        </w:rPr>
        <w:t xml:space="preserve">border </w:t>
      </w:r>
      <w:r w:rsidR="00411AEB" w:rsidRPr="00C223BC">
        <w:rPr>
          <w:rFonts w:ascii="Cambria" w:hAnsi="Cambria"/>
          <w:color w:val="auto"/>
        </w:rPr>
        <w:t>activity</w:t>
      </w:r>
      <w:r w:rsidR="00666AE4" w:rsidRPr="00C223BC">
        <w:rPr>
          <w:rFonts w:ascii="Cambria" w:hAnsi="Cambria"/>
          <w:color w:val="auto"/>
        </w:rPr>
        <w:t xml:space="preserve">. </w:t>
      </w:r>
      <w:r w:rsidR="00A57B6D">
        <w:rPr>
          <w:rFonts w:ascii="Cambria" w:hAnsi="Cambria"/>
          <w:color w:val="auto"/>
        </w:rPr>
        <w:t xml:space="preserve"> </w:t>
      </w:r>
      <w:r w:rsidR="0023340F" w:rsidRPr="00C223BC">
        <w:rPr>
          <w:rFonts w:ascii="Cambria" w:hAnsi="Cambria"/>
          <w:color w:val="auto"/>
        </w:rPr>
        <w:t>It</w:t>
      </w:r>
      <w:r w:rsidR="00A57B6D">
        <w:rPr>
          <w:rFonts w:ascii="Cambria" w:hAnsi="Cambria"/>
          <w:color w:val="auto"/>
        </w:rPr>
        <w:t xml:space="preserve"> i</w:t>
      </w:r>
      <w:r w:rsidR="0023340F" w:rsidRPr="00C223BC">
        <w:rPr>
          <w:rFonts w:ascii="Cambria" w:hAnsi="Cambria"/>
          <w:color w:val="auto"/>
        </w:rPr>
        <w:t xml:space="preserve">s essential for the company to request from the depositary bank a monthly trading report, </w:t>
      </w:r>
      <w:r w:rsidR="00411AEB" w:rsidRPr="00C223BC">
        <w:rPr>
          <w:rFonts w:ascii="Cambria" w:hAnsi="Cambria"/>
          <w:color w:val="auto"/>
        </w:rPr>
        <w:t>wh</w:t>
      </w:r>
      <w:r w:rsidR="005402E6">
        <w:rPr>
          <w:rFonts w:ascii="Cambria" w:hAnsi="Cambria"/>
          <w:color w:val="auto"/>
        </w:rPr>
        <w:t xml:space="preserve">ich reveals the issuance fee, </w:t>
      </w:r>
      <w:r w:rsidR="00A57B6D">
        <w:rPr>
          <w:rFonts w:ascii="Cambria" w:hAnsi="Cambria"/>
          <w:color w:val="auto"/>
        </w:rPr>
        <w:t xml:space="preserve">the </w:t>
      </w:r>
      <w:r w:rsidR="00411AEB" w:rsidRPr="00C223BC">
        <w:rPr>
          <w:rFonts w:ascii="Cambria" w:hAnsi="Cambria"/>
          <w:color w:val="auto"/>
        </w:rPr>
        <w:t>name of a broker</w:t>
      </w:r>
      <w:r w:rsidR="00A57B6D">
        <w:rPr>
          <w:rFonts w:ascii="Cambria" w:hAnsi="Cambria"/>
          <w:color w:val="auto"/>
        </w:rPr>
        <w:t>,</w:t>
      </w:r>
      <w:r w:rsidR="00411AEB" w:rsidRPr="00C223BC">
        <w:rPr>
          <w:rFonts w:ascii="Cambria" w:hAnsi="Cambria"/>
          <w:color w:val="auto"/>
        </w:rPr>
        <w:t xml:space="preserve"> and </w:t>
      </w:r>
      <w:r w:rsidR="00A57B6D">
        <w:rPr>
          <w:rFonts w:ascii="Cambria" w:hAnsi="Cambria"/>
          <w:color w:val="auto"/>
        </w:rPr>
        <w:t xml:space="preserve">the </w:t>
      </w:r>
      <w:r w:rsidR="00411AEB" w:rsidRPr="00C223BC">
        <w:rPr>
          <w:rFonts w:ascii="Cambria" w:hAnsi="Cambria"/>
          <w:color w:val="auto"/>
        </w:rPr>
        <w:t>number of DRs issued.</w:t>
      </w:r>
    </w:p>
    <w:p w14:paraId="0476714F" w14:textId="3E2DA9A8" w:rsidR="0001446B" w:rsidRDefault="00BC5E7E" w:rsidP="006E37B1">
      <w:pPr>
        <w:rPr>
          <w:rFonts w:ascii="Cambria" w:hAnsi="Cambria"/>
          <w:b/>
          <w:color w:val="auto"/>
          <w:u w:val="single"/>
        </w:rPr>
      </w:pPr>
      <w:r>
        <w:rPr>
          <w:rFonts w:ascii="Cambria" w:hAnsi="Cambria"/>
          <w:b/>
          <w:color w:val="auto"/>
          <w:u w:val="single"/>
        </w:rPr>
        <w:t xml:space="preserve">b) Tax </w:t>
      </w:r>
      <w:r w:rsidR="004229EE">
        <w:rPr>
          <w:rFonts w:ascii="Cambria" w:hAnsi="Cambria"/>
          <w:b/>
          <w:color w:val="auto"/>
          <w:u w:val="single"/>
        </w:rPr>
        <w:t>R</w:t>
      </w:r>
      <w:r w:rsidR="004229EE" w:rsidRPr="0001446B">
        <w:rPr>
          <w:rFonts w:ascii="Cambria" w:hAnsi="Cambria"/>
          <w:b/>
          <w:color w:val="auto"/>
          <w:u w:val="single"/>
        </w:rPr>
        <w:t>eclamation</w:t>
      </w:r>
      <w:r w:rsidR="004229EE">
        <w:rPr>
          <w:rFonts w:ascii="Cambria" w:hAnsi="Cambria"/>
          <w:b/>
          <w:color w:val="auto"/>
          <w:u w:val="single"/>
        </w:rPr>
        <w:t xml:space="preserve"> A</w:t>
      </w:r>
      <w:r w:rsidR="0001446B">
        <w:rPr>
          <w:rFonts w:ascii="Cambria" w:hAnsi="Cambria"/>
          <w:b/>
          <w:color w:val="auto"/>
          <w:u w:val="single"/>
        </w:rPr>
        <w:t>ctivity</w:t>
      </w:r>
      <w:r w:rsidR="0001446B" w:rsidRPr="0001446B">
        <w:rPr>
          <w:rFonts w:ascii="Cambria" w:hAnsi="Cambria"/>
          <w:b/>
          <w:color w:val="auto"/>
          <w:u w:val="single"/>
        </w:rPr>
        <w:t xml:space="preserve"> </w:t>
      </w:r>
    </w:p>
    <w:p w14:paraId="4EE584AB" w14:textId="4A71D5B7" w:rsidR="00DD43F9" w:rsidRPr="005E4EF7" w:rsidRDefault="00811A4F" w:rsidP="005E4EF7">
      <w:pPr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The depositary bank offers </w:t>
      </w:r>
      <w:r w:rsidR="0001446B">
        <w:rPr>
          <w:rFonts w:ascii="Cambria" w:hAnsi="Cambria"/>
          <w:color w:val="auto"/>
        </w:rPr>
        <w:t xml:space="preserve">tax reclamation services </w:t>
      </w:r>
      <w:r>
        <w:rPr>
          <w:rFonts w:ascii="Cambria" w:hAnsi="Cambria"/>
          <w:color w:val="auto"/>
        </w:rPr>
        <w:t>for eligible DR holders</w:t>
      </w:r>
      <w:r w:rsidR="0001446B" w:rsidRPr="0001446B">
        <w:rPr>
          <w:rFonts w:ascii="Cambria" w:hAnsi="Cambria"/>
          <w:color w:val="auto"/>
        </w:rPr>
        <w:t>.</w:t>
      </w:r>
      <w:r w:rsidR="00173484">
        <w:rPr>
          <w:rFonts w:ascii="Cambria" w:hAnsi="Cambria"/>
          <w:color w:val="auto"/>
        </w:rPr>
        <w:t xml:space="preserve">  </w:t>
      </w:r>
      <w:r w:rsidR="0001446B" w:rsidRPr="0001446B">
        <w:rPr>
          <w:rFonts w:ascii="Cambria" w:hAnsi="Cambria"/>
          <w:color w:val="auto"/>
        </w:rPr>
        <w:t>When inv</w:t>
      </w:r>
      <w:r w:rsidR="0001446B">
        <w:rPr>
          <w:rFonts w:ascii="Cambria" w:hAnsi="Cambria"/>
          <w:color w:val="auto"/>
        </w:rPr>
        <w:t>estors receive income such dividends from holding DRs</w:t>
      </w:r>
      <w:r w:rsidR="0001446B" w:rsidRPr="0001446B">
        <w:rPr>
          <w:rFonts w:ascii="Cambria" w:hAnsi="Cambria"/>
          <w:color w:val="auto"/>
        </w:rPr>
        <w:t xml:space="preserve">, </w:t>
      </w:r>
      <w:r w:rsidR="0001446B">
        <w:rPr>
          <w:rFonts w:ascii="Cambria" w:hAnsi="Cambria"/>
          <w:color w:val="auto"/>
        </w:rPr>
        <w:t>they are often taxed at a high</w:t>
      </w:r>
      <w:r w:rsidR="0001446B" w:rsidRPr="0001446B">
        <w:rPr>
          <w:rFonts w:ascii="Cambria" w:hAnsi="Cambria"/>
          <w:color w:val="auto"/>
        </w:rPr>
        <w:t xml:space="preserve"> withholding rate</w:t>
      </w:r>
      <w:r w:rsidR="00173484">
        <w:rPr>
          <w:rFonts w:ascii="Cambria" w:hAnsi="Cambria"/>
          <w:color w:val="auto"/>
        </w:rPr>
        <w:t>—</w:t>
      </w:r>
      <w:r w:rsidR="0001446B" w:rsidRPr="0001446B">
        <w:rPr>
          <w:rFonts w:ascii="Cambria" w:hAnsi="Cambria"/>
          <w:color w:val="auto"/>
        </w:rPr>
        <w:t xml:space="preserve"> the “statutory” rate. </w:t>
      </w:r>
      <w:r w:rsidR="000C55DA">
        <w:rPr>
          <w:rFonts w:ascii="Cambria" w:hAnsi="Cambria"/>
          <w:color w:val="auto"/>
        </w:rPr>
        <w:t xml:space="preserve">  </w:t>
      </w:r>
      <w:r>
        <w:rPr>
          <w:rFonts w:ascii="Cambria" w:hAnsi="Cambria"/>
          <w:color w:val="auto"/>
        </w:rPr>
        <w:t xml:space="preserve">DR </w:t>
      </w:r>
      <w:r w:rsidR="000C55DA">
        <w:rPr>
          <w:rFonts w:ascii="Cambria" w:hAnsi="Cambria"/>
          <w:color w:val="auto"/>
        </w:rPr>
        <w:t>h</w:t>
      </w:r>
      <w:r>
        <w:rPr>
          <w:rFonts w:ascii="Cambria" w:hAnsi="Cambria"/>
          <w:color w:val="auto"/>
        </w:rPr>
        <w:t xml:space="preserve">olders may be eligible under </w:t>
      </w:r>
      <w:r w:rsidR="000C55DA">
        <w:rPr>
          <w:rFonts w:ascii="Cambria" w:hAnsi="Cambria"/>
          <w:color w:val="auto"/>
        </w:rPr>
        <w:t>d</w:t>
      </w:r>
      <w:r>
        <w:rPr>
          <w:rFonts w:ascii="Cambria" w:hAnsi="Cambria"/>
          <w:color w:val="auto"/>
        </w:rPr>
        <w:t>ouble</w:t>
      </w:r>
      <w:r w:rsidR="000C55DA">
        <w:rPr>
          <w:rFonts w:ascii="Cambria" w:hAnsi="Cambria"/>
          <w:color w:val="auto"/>
        </w:rPr>
        <w:t>-t</w:t>
      </w:r>
      <w:r>
        <w:rPr>
          <w:rFonts w:ascii="Cambria" w:hAnsi="Cambria"/>
          <w:color w:val="auto"/>
        </w:rPr>
        <w:t xml:space="preserve">ax </w:t>
      </w:r>
      <w:r w:rsidR="000C55DA">
        <w:rPr>
          <w:rFonts w:ascii="Cambria" w:hAnsi="Cambria"/>
          <w:color w:val="auto"/>
        </w:rPr>
        <w:t>t</w:t>
      </w:r>
      <w:r>
        <w:rPr>
          <w:rFonts w:ascii="Cambria" w:hAnsi="Cambria"/>
          <w:color w:val="auto"/>
        </w:rPr>
        <w:t xml:space="preserve">reaties </w:t>
      </w:r>
      <w:r w:rsidR="0001446B" w:rsidRPr="0001446B">
        <w:rPr>
          <w:rFonts w:ascii="Cambria" w:hAnsi="Cambria"/>
          <w:color w:val="auto"/>
        </w:rPr>
        <w:t xml:space="preserve">to </w:t>
      </w:r>
      <w:r>
        <w:rPr>
          <w:rFonts w:ascii="Cambria" w:hAnsi="Cambria"/>
          <w:color w:val="auto"/>
        </w:rPr>
        <w:t>reclaim taxes withheld in a local market.</w:t>
      </w:r>
      <w:r w:rsidR="005C16D7">
        <w:rPr>
          <w:rFonts w:ascii="Cambria" w:hAnsi="Cambria"/>
          <w:color w:val="auto"/>
        </w:rPr>
        <w:t xml:space="preserve">  </w:t>
      </w:r>
      <w:r>
        <w:rPr>
          <w:rFonts w:ascii="Cambria" w:hAnsi="Cambria"/>
          <w:color w:val="auto"/>
        </w:rPr>
        <w:t xml:space="preserve"> For this service</w:t>
      </w:r>
      <w:r w:rsidR="005C16D7">
        <w:rPr>
          <w:rFonts w:ascii="Cambria" w:hAnsi="Cambria"/>
          <w:color w:val="auto"/>
        </w:rPr>
        <w:t>,</w:t>
      </w:r>
      <w:r>
        <w:rPr>
          <w:rFonts w:ascii="Cambria" w:hAnsi="Cambria"/>
          <w:color w:val="auto"/>
        </w:rPr>
        <w:t xml:space="preserve"> the </w:t>
      </w:r>
      <w:r w:rsidR="005C16D7">
        <w:rPr>
          <w:rFonts w:ascii="Cambria" w:hAnsi="Cambria"/>
          <w:color w:val="auto"/>
        </w:rPr>
        <w:t>d</w:t>
      </w:r>
      <w:r>
        <w:rPr>
          <w:rFonts w:ascii="Cambria" w:hAnsi="Cambria"/>
          <w:color w:val="auto"/>
        </w:rPr>
        <w:t>epositary bank charges $0</w:t>
      </w:r>
      <w:r w:rsidR="005C16D7">
        <w:rPr>
          <w:rFonts w:ascii="Cambria" w:hAnsi="Cambria"/>
          <w:color w:val="auto"/>
        </w:rPr>
        <w:t>.</w:t>
      </w:r>
      <w:r>
        <w:rPr>
          <w:rFonts w:ascii="Cambria" w:hAnsi="Cambria"/>
          <w:color w:val="auto"/>
        </w:rPr>
        <w:t xml:space="preserve">005 per DR. </w:t>
      </w:r>
      <w:r w:rsidR="005C16D7">
        <w:rPr>
          <w:rFonts w:ascii="Cambria" w:hAnsi="Cambria"/>
          <w:color w:val="auto"/>
        </w:rPr>
        <w:t xml:space="preserve">  </w:t>
      </w:r>
      <w:r>
        <w:rPr>
          <w:rFonts w:ascii="Cambria" w:hAnsi="Cambria"/>
          <w:color w:val="auto"/>
        </w:rPr>
        <w:t>We have experienced a few cases whe</w:t>
      </w:r>
      <w:r w:rsidR="005C16D7">
        <w:rPr>
          <w:rFonts w:ascii="Cambria" w:hAnsi="Cambria"/>
          <w:color w:val="auto"/>
        </w:rPr>
        <w:t>re</w:t>
      </w:r>
      <w:r>
        <w:rPr>
          <w:rFonts w:ascii="Cambria" w:hAnsi="Cambria"/>
          <w:color w:val="auto"/>
        </w:rPr>
        <w:t xml:space="preserve"> the depositary bank did not factor in revenue derived from tax reclamation services </w:t>
      </w:r>
      <w:r w:rsidR="005C16D7">
        <w:rPr>
          <w:rFonts w:ascii="Cambria" w:hAnsi="Cambria"/>
          <w:color w:val="auto"/>
        </w:rPr>
        <w:t>to</w:t>
      </w:r>
      <w:r>
        <w:rPr>
          <w:rFonts w:ascii="Cambria" w:hAnsi="Cambria"/>
          <w:color w:val="auto"/>
        </w:rPr>
        <w:t xml:space="preserve"> </w:t>
      </w:r>
      <w:r w:rsidR="005C16D7">
        <w:rPr>
          <w:rFonts w:ascii="Cambria" w:hAnsi="Cambria"/>
          <w:color w:val="auto"/>
        </w:rPr>
        <w:t xml:space="preserve">calculate </w:t>
      </w:r>
      <w:r>
        <w:rPr>
          <w:rFonts w:ascii="Cambria" w:hAnsi="Cambria"/>
          <w:color w:val="auto"/>
        </w:rPr>
        <w:t xml:space="preserve">reimbursement. </w:t>
      </w:r>
    </w:p>
    <w:p w14:paraId="561F6AF6" w14:textId="0C20B5C9" w:rsidR="00E724FE" w:rsidRPr="00E724FE" w:rsidRDefault="00E724FE" w:rsidP="00BC5E7E">
      <w:pPr>
        <w:jc w:val="both"/>
        <w:rPr>
          <w:rFonts w:ascii="Cambria" w:hAnsi="Cambria" w:cs="Times New Roman"/>
          <w:color w:val="FF0000"/>
          <w:sz w:val="40"/>
        </w:rPr>
      </w:pPr>
      <w:r w:rsidRPr="00E724FE">
        <w:rPr>
          <w:rFonts w:ascii="Cambria" w:hAnsi="Cambria" w:cs="Times New Roman"/>
          <w:color w:val="FF0000"/>
          <w:sz w:val="40"/>
        </w:rPr>
        <w:t xml:space="preserve">Pricing Model </w:t>
      </w:r>
    </w:p>
    <w:p w14:paraId="0E574D37" w14:textId="0192D7DF" w:rsidR="00CD2603" w:rsidRDefault="00BC5E7E" w:rsidP="004155D9">
      <w:pPr>
        <w:jc w:val="both"/>
        <w:rPr>
          <w:rFonts w:ascii="Cambria" w:hAnsi="Cambria" w:cs="Times New Roman"/>
          <w:color w:val="auto"/>
        </w:rPr>
      </w:pPr>
      <w:r w:rsidRPr="006C1C08">
        <w:rPr>
          <w:rFonts w:ascii="Cambria" w:hAnsi="Cambria" w:cs="Times New Roman"/>
          <w:color w:val="auto"/>
        </w:rPr>
        <w:t xml:space="preserve">Most DR programs are complex multi-party arrangements between </w:t>
      </w:r>
      <w:r w:rsidR="005C16D7">
        <w:rPr>
          <w:rFonts w:ascii="Cambria" w:hAnsi="Cambria" w:cs="Times New Roman"/>
          <w:color w:val="auto"/>
        </w:rPr>
        <w:t xml:space="preserve">the </w:t>
      </w:r>
      <w:r w:rsidR="006F0695">
        <w:rPr>
          <w:rFonts w:ascii="Cambria" w:hAnsi="Cambria" w:cs="Times New Roman"/>
          <w:color w:val="auto"/>
        </w:rPr>
        <w:t>Issuer</w:t>
      </w:r>
      <w:r w:rsidRPr="006C1C08">
        <w:rPr>
          <w:rFonts w:ascii="Cambria" w:hAnsi="Cambria" w:cs="Times New Roman"/>
          <w:color w:val="auto"/>
        </w:rPr>
        <w:t xml:space="preserve">, </w:t>
      </w:r>
      <w:r w:rsidR="005C16D7">
        <w:rPr>
          <w:rFonts w:ascii="Cambria" w:hAnsi="Cambria" w:cs="Times New Roman"/>
          <w:color w:val="auto"/>
        </w:rPr>
        <w:t xml:space="preserve">the </w:t>
      </w:r>
      <w:r w:rsidRPr="006C1C08">
        <w:rPr>
          <w:rFonts w:ascii="Cambria" w:hAnsi="Cambria" w:cs="Times New Roman"/>
          <w:color w:val="auto"/>
        </w:rPr>
        <w:t>depositary bank</w:t>
      </w:r>
      <w:r w:rsidR="005C16D7">
        <w:rPr>
          <w:rFonts w:ascii="Cambria" w:hAnsi="Cambria" w:cs="Times New Roman"/>
          <w:color w:val="auto"/>
        </w:rPr>
        <w:t>,</w:t>
      </w:r>
      <w:r w:rsidRPr="006C1C08">
        <w:rPr>
          <w:rFonts w:ascii="Cambria" w:hAnsi="Cambria" w:cs="Times New Roman"/>
          <w:color w:val="auto"/>
        </w:rPr>
        <w:t xml:space="preserve"> and DR holders, based on estimated future cash flows stemming from different sources (</w:t>
      </w:r>
      <w:r w:rsidR="005C16D7">
        <w:rPr>
          <w:rFonts w:ascii="Cambria" w:hAnsi="Cambria" w:cs="Times New Roman"/>
          <w:color w:val="auto"/>
        </w:rPr>
        <w:t xml:space="preserve">the </w:t>
      </w:r>
      <w:r w:rsidRPr="006C1C08">
        <w:rPr>
          <w:rFonts w:ascii="Cambria" w:hAnsi="Cambria" w:cs="Times New Roman"/>
          <w:color w:val="auto"/>
        </w:rPr>
        <w:t xml:space="preserve">annual fee, </w:t>
      </w:r>
      <w:r w:rsidR="005C16D7">
        <w:rPr>
          <w:rFonts w:ascii="Cambria" w:hAnsi="Cambria" w:cs="Times New Roman"/>
          <w:color w:val="auto"/>
        </w:rPr>
        <w:t xml:space="preserve">the </w:t>
      </w:r>
      <w:r w:rsidRPr="006C1C08">
        <w:rPr>
          <w:rFonts w:ascii="Cambria" w:hAnsi="Cambria" w:cs="Times New Roman"/>
          <w:color w:val="auto"/>
        </w:rPr>
        <w:t xml:space="preserve">dividend payment fee, </w:t>
      </w:r>
      <w:r w:rsidR="005C16D7">
        <w:rPr>
          <w:rFonts w:ascii="Cambria" w:hAnsi="Cambria" w:cs="Times New Roman"/>
          <w:color w:val="auto"/>
        </w:rPr>
        <w:t xml:space="preserve">the </w:t>
      </w:r>
      <w:r w:rsidRPr="006C1C08">
        <w:rPr>
          <w:rFonts w:ascii="Cambria" w:hAnsi="Cambria" w:cs="Times New Roman"/>
          <w:color w:val="auto"/>
        </w:rPr>
        <w:t xml:space="preserve">conversion fee, etc.). </w:t>
      </w:r>
      <w:r w:rsidR="005C16D7">
        <w:rPr>
          <w:rFonts w:ascii="Cambria" w:hAnsi="Cambria" w:cs="Times New Roman"/>
          <w:color w:val="auto"/>
        </w:rPr>
        <w:t xml:space="preserve"> </w:t>
      </w:r>
      <w:r w:rsidRPr="006C1C08">
        <w:rPr>
          <w:rFonts w:ascii="Cambria" w:hAnsi="Cambria" w:cs="Times New Roman"/>
          <w:color w:val="auto"/>
        </w:rPr>
        <w:t>Th</w:t>
      </w:r>
      <w:r w:rsidR="005C16D7">
        <w:rPr>
          <w:rFonts w:ascii="Cambria" w:hAnsi="Cambria" w:cs="Times New Roman"/>
          <w:color w:val="auto"/>
        </w:rPr>
        <w:t>is</w:t>
      </w:r>
      <w:r w:rsidRPr="006C1C08">
        <w:rPr>
          <w:rFonts w:ascii="Cambria" w:hAnsi="Cambria" w:cs="Times New Roman"/>
          <w:color w:val="auto"/>
        </w:rPr>
        <w:t xml:space="preserve"> results in low transparency of economic benefits, especially concerning reimbursement arrangements between the depositary bank and the </w:t>
      </w:r>
      <w:r w:rsidR="006F0695">
        <w:rPr>
          <w:rFonts w:ascii="Cambria" w:hAnsi="Cambria" w:cs="Times New Roman"/>
          <w:color w:val="auto"/>
        </w:rPr>
        <w:t>Issuer</w:t>
      </w:r>
      <w:r w:rsidRPr="006C1C08">
        <w:rPr>
          <w:rFonts w:ascii="Cambria" w:hAnsi="Cambria" w:cs="Times New Roman"/>
          <w:color w:val="auto"/>
        </w:rPr>
        <w:t xml:space="preserve">. </w:t>
      </w:r>
      <w:r w:rsidR="005C16D7">
        <w:rPr>
          <w:rFonts w:ascii="Cambria" w:hAnsi="Cambria" w:cs="Times New Roman"/>
          <w:color w:val="auto"/>
        </w:rPr>
        <w:t xml:space="preserve"> </w:t>
      </w:r>
      <w:r w:rsidRPr="006C1C08">
        <w:rPr>
          <w:rFonts w:ascii="Cambria" w:hAnsi="Cambria" w:cs="Times New Roman"/>
          <w:color w:val="auto"/>
        </w:rPr>
        <w:t xml:space="preserve">Our experience indicates that most the DR issuers could substantially increase reimbursement amounts from their depositary banks. </w:t>
      </w:r>
      <w:r w:rsidR="005C16D7">
        <w:rPr>
          <w:rFonts w:ascii="Cambria" w:hAnsi="Cambria" w:cs="Times New Roman"/>
          <w:color w:val="auto"/>
        </w:rPr>
        <w:t xml:space="preserve"> </w:t>
      </w:r>
      <w:r w:rsidRPr="006C1C08">
        <w:rPr>
          <w:rFonts w:ascii="Cambria" w:hAnsi="Cambria" w:cs="Times New Roman"/>
          <w:color w:val="auto"/>
        </w:rPr>
        <w:t xml:space="preserve">A depositary bank may be earning substantial profits that are not equitably shared with, or made available to, a company and/or are taken by the depositary at the expense of DR holders. </w:t>
      </w:r>
      <w:r w:rsidR="005C16D7">
        <w:rPr>
          <w:rFonts w:ascii="Cambria" w:hAnsi="Cambria" w:cs="Times New Roman"/>
          <w:color w:val="auto"/>
        </w:rPr>
        <w:t xml:space="preserve">  </w:t>
      </w:r>
      <w:r w:rsidRPr="006C1C08">
        <w:rPr>
          <w:rFonts w:ascii="Cambria" w:hAnsi="Cambria" w:cs="Times New Roman"/>
          <w:color w:val="auto"/>
        </w:rPr>
        <w:t xml:space="preserve">Although many DR issuers receive financial contributions and expense reimbursements from their depositary banks, most companies fail to derive the full value they </w:t>
      </w:r>
      <w:r w:rsidR="005C16D7">
        <w:rPr>
          <w:rFonts w:ascii="Cambria" w:hAnsi="Cambria" w:cs="Times New Roman"/>
          <w:color w:val="auto"/>
        </w:rPr>
        <w:t>are due</w:t>
      </w:r>
      <w:r w:rsidRPr="006C1C08">
        <w:rPr>
          <w:rFonts w:ascii="Cambria" w:hAnsi="Cambria" w:cs="Times New Roman"/>
          <w:color w:val="auto"/>
        </w:rPr>
        <w:t xml:space="preserve"> from their DR programs.</w:t>
      </w:r>
      <w:r w:rsidR="00CD2603">
        <w:rPr>
          <w:rFonts w:ascii="Cambria" w:hAnsi="Cambria" w:cs="Times New Roman"/>
          <w:color w:val="auto"/>
        </w:rPr>
        <w:t xml:space="preserve"> </w:t>
      </w:r>
    </w:p>
    <w:p w14:paraId="4639F565" w14:textId="79702FAB" w:rsidR="00CD2603" w:rsidRDefault="005E4EF7" w:rsidP="00CD2603">
      <w:pPr>
        <w:jc w:val="both"/>
        <w:rPr>
          <w:rFonts w:ascii="Cambria" w:hAnsi="Cambria" w:cs="Times New Roman"/>
          <w:color w:val="auto"/>
        </w:rPr>
      </w:pPr>
      <w:r>
        <w:rPr>
          <w:rFonts w:ascii="Cambria" w:hAnsi="Cambria" w:cs="Times New Roman"/>
          <w:color w:val="auto"/>
        </w:rPr>
        <w:t xml:space="preserve">Depositary </w:t>
      </w:r>
      <w:r w:rsidR="005C16D7">
        <w:rPr>
          <w:rFonts w:ascii="Cambria" w:hAnsi="Cambria" w:cs="Times New Roman"/>
          <w:color w:val="auto"/>
        </w:rPr>
        <w:t>b</w:t>
      </w:r>
      <w:r w:rsidR="00CD2603">
        <w:rPr>
          <w:rFonts w:ascii="Cambria" w:hAnsi="Cambria" w:cs="Times New Roman"/>
          <w:color w:val="auto"/>
        </w:rPr>
        <w:t>anks price t</w:t>
      </w:r>
      <w:r>
        <w:rPr>
          <w:rFonts w:ascii="Cambria" w:hAnsi="Cambria" w:cs="Times New Roman"/>
          <w:color w:val="auto"/>
        </w:rPr>
        <w:t>he reimbursement multiple</w:t>
      </w:r>
      <w:r w:rsidR="00CD2603">
        <w:rPr>
          <w:rFonts w:ascii="Cambria" w:hAnsi="Cambria" w:cs="Times New Roman"/>
          <w:color w:val="auto"/>
        </w:rPr>
        <w:t xml:space="preserve"> based on the following parameters: </w:t>
      </w:r>
    </w:p>
    <w:p w14:paraId="3888094C" w14:textId="5FE1B306" w:rsidR="00CD2603" w:rsidRDefault="005C16D7" w:rsidP="00CD2603">
      <w:pPr>
        <w:pStyle w:val="ListParagraph"/>
        <w:numPr>
          <w:ilvl w:val="0"/>
          <w:numId w:val="34"/>
        </w:numPr>
        <w:jc w:val="both"/>
        <w:rPr>
          <w:rFonts w:ascii="Cambria" w:hAnsi="Cambria" w:cs="Times New Roman"/>
          <w:color w:val="auto"/>
        </w:rPr>
      </w:pPr>
      <w:r>
        <w:rPr>
          <w:rFonts w:ascii="Cambria" w:hAnsi="Cambria" w:cs="Times New Roman"/>
          <w:color w:val="auto"/>
        </w:rPr>
        <w:t>The n</w:t>
      </w:r>
      <w:r w:rsidR="00CD2603" w:rsidRPr="00CD2603">
        <w:rPr>
          <w:rFonts w:ascii="Cambria" w:hAnsi="Cambria" w:cs="Times New Roman"/>
          <w:color w:val="auto"/>
        </w:rPr>
        <w:t>umber of DRs outstanding</w:t>
      </w:r>
    </w:p>
    <w:p w14:paraId="55D967C6" w14:textId="15FB9CAF" w:rsidR="00CD2603" w:rsidRPr="00CD2603" w:rsidRDefault="00CD2603" w:rsidP="00CD2603">
      <w:pPr>
        <w:pStyle w:val="ListParagraph"/>
        <w:numPr>
          <w:ilvl w:val="0"/>
          <w:numId w:val="34"/>
        </w:numPr>
        <w:jc w:val="both"/>
        <w:rPr>
          <w:rFonts w:ascii="Cambria" w:hAnsi="Cambria" w:cs="Times New Roman"/>
          <w:color w:val="auto"/>
        </w:rPr>
      </w:pPr>
      <w:r>
        <w:rPr>
          <w:rFonts w:ascii="Cambria" w:hAnsi="Cambria" w:cs="Times New Roman"/>
          <w:color w:val="auto"/>
        </w:rPr>
        <w:t xml:space="preserve">Corporate </w:t>
      </w:r>
      <w:r w:rsidR="005C16D7">
        <w:rPr>
          <w:rFonts w:ascii="Cambria" w:hAnsi="Cambria" w:cs="Times New Roman"/>
          <w:color w:val="auto"/>
        </w:rPr>
        <w:t>a</w:t>
      </w:r>
      <w:r>
        <w:rPr>
          <w:rFonts w:ascii="Cambria" w:hAnsi="Cambria" w:cs="Times New Roman"/>
          <w:color w:val="auto"/>
        </w:rPr>
        <w:t>ctions (</w:t>
      </w:r>
      <w:r w:rsidR="005C16D7">
        <w:rPr>
          <w:rFonts w:ascii="Cambria" w:hAnsi="Cambria" w:cs="Times New Roman"/>
          <w:color w:val="auto"/>
        </w:rPr>
        <w:t>r</w:t>
      </w:r>
      <w:r>
        <w:rPr>
          <w:rFonts w:ascii="Cambria" w:hAnsi="Cambria" w:cs="Times New Roman"/>
          <w:color w:val="auto"/>
        </w:rPr>
        <w:t xml:space="preserve">atio </w:t>
      </w:r>
      <w:r w:rsidR="005C16D7">
        <w:rPr>
          <w:rFonts w:ascii="Cambria" w:hAnsi="Cambria" w:cs="Times New Roman"/>
          <w:color w:val="auto"/>
        </w:rPr>
        <w:t>c</w:t>
      </w:r>
      <w:r>
        <w:rPr>
          <w:rFonts w:ascii="Cambria" w:hAnsi="Cambria" w:cs="Times New Roman"/>
          <w:color w:val="auto"/>
        </w:rPr>
        <w:t>hange</w:t>
      </w:r>
      <w:r w:rsidR="005C16D7">
        <w:rPr>
          <w:rFonts w:ascii="Cambria" w:hAnsi="Cambria" w:cs="Times New Roman"/>
          <w:color w:val="auto"/>
        </w:rPr>
        <w:t>s</w:t>
      </w:r>
      <w:r>
        <w:rPr>
          <w:rFonts w:ascii="Cambria" w:hAnsi="Cambria" w:cs="Times New Roman"/>
          <w:color w:val="auto"/>
        </w:rPr>
        <w:t xml:space="preserve"> on DRs, SPO, buybacks, share split</w:t>
      </w:r>
      <w:r w:rsidR="00173484">
        <w:rPr>
          <w:rFonts w:ascii="Cambria" w:hAnsi="Cambria" w:cs="Times New Roman"/>
          <w:color w:val="auto"/>
        </w:rPr>
        <w:t>s</w:t>
      </w:r>
      <w:r>
        <w:rPr>
          <w:rFonts w:ascii="Cambria" w:hAnsi="Cambria" w:cs="Times New Roman"/>
          <w:color w:val="auto"/>
        </w:rPr>
        <w:t xml:space="preserve">) </w:t>
      </w:r>
    </w:p>
    <w:p w14:paraId="106EF57E" w14:textId="70B6AC14" w:rsidR="00CD2603" w:rsidRDefault="00CD2603" w:rsidP="00CD2603">
      <w:pPr>
        <w:pStyle w:val="ListParagraph"/>
        <w:numPr>
          <w:ilvl w:val="0"/>
          <w:numId w:val="34"/>
        </w:numPr>
        <w:jc w:val="both"/>
        <w:rPr>
          <w:rFonts w:ascii="Cambria" w:hAnsi="Cambria" w:cs="Times New Roman"/>
          <w:color w:val="auto"/>
        </w:rPr>
      </w:pPr>
      <w:r>
        <w:rPr>
          <w:rFonts w:ascii="Cambria" w:hAnsi="Cambria" w:cs="Times New Roman"/>
          <w:color w:val="auto"/>
        </w:rPr>
        <w:t xml:space="preserve">A total fixed fee they can charge DR holders per year </w:t>
      </w:r>
    </w:p>
    <w:p w14:paraId="0BCC9F18" w14:textId="2AF4788C" w:rsidR="00CD2603" w:rsidRDefault="005C16D7" w:rsidP="00CD2603">
      <w:pPr>
        <w:pStyle w:val="ListParagraph"/>
        <w:numPr>
          <w:ilvl w:val="0"/>
          <w:numId w:val="34"/>
        </w:numPr>
        <w:jc w:val="both"/>
        <w:rPr>
          <w:rFonts w:ascii="Cambria" w:hAnsi="Cambria" w:cs="Times New Roman"/>
          <w:color w:val="auto"/>
        </w:rPr>
      </w:pPr>
      <w:r>
        <w:rPr>
          <w:rFonts w:ascii="Cambria" w:hAnsi="Cambria" w:cs="Times New Roman"/>
          <w:color w:val="auto"/>
        </w:rPr>
        <w:t>The d</w:t>
      </w:r>
      <w:r w:rsidR="00CD2603">
        <w:rPr>
          <w:rFonts w:ascii="Cambria" w:hAnsi="Cambria" w:cs="Times New Roman"/>
          <w:color w:val="auto"/>
        </w:rPr>
        <w:t xml:space="preserve">uration of the contract terms </w:t>
      </w:r>
    </w:p>
    <w:p w14:paraId="440017A9" w14:textId="65093FF8" w:rsidR="00CD2603" w:rsidRDefault="00173484" w:rsidP="00CD2603">
      <w:pPr>
        <w:pStyle w:val="ListParagraph"/>
        <w:numPr>
          <w:ilvl w:val="0"/>
          <w:numId w:val="34"/>
        </w:numPr>
        <w:jc w:val="both"/>
        <w:rPr>
          <w:rFonts w:ascii="Cambria" w:hAnsi="Cambria" w:cs="Times New Roman"/>
          <w:color w:val="auto"/>
        </w:rPr>
      </w:pPr>
      <w:r>
        <w:rPr>
          <w:rFonts w:ascii="Cambria" w:hAnsi="Cambria" w:cs="Times New Roman"/>
          <w:color w:val="auto"/>
        </w:rPr>
        <w:t xml:space="preserve">The </w:t>
      </w:r>
      <w:r w:rsidR="00CD2603">
        <w:rPr>
          <w:rFonts w:ascii="Cambria" w:hAnsi="Cambria" w:cs="Times New Roman"/>
          <w:color w:val="auto"/>
        </w:rPr>
        <w:t xml:space="preserve">Foreign Ownership Limit </w:t>
      </w:r>
    </w:p>
    <w:p w14:paraId="52989439" w14:textId="38BEF45C" w:rsidR="00CD2603" w:rsidRDefault="005C16D7" w:rsidP="00CD2603">
      <w:pPr>
        <w:pStyle w:val="ListParagraph"/>
        <w:numPr>
          <w:ilvl w:val="0"/>
          <w:numId w:val="34"/>
        </w:numPr>
        <w:jc w:val="both"/>
        <w:rPr>
          <w:rFonts w:ascii="Cambria" w:hAnsi="Cambria" w:cs="Times New Roman"/>
          <w:color w:val="auto"/>
        </w:rPr>
      </w:pPr>
      <w:r>
        <w:rPr>
          <w:rFonts w:ascii="Cambria" w:hAnsi="Cambria" w:cs="Times New Roman"/>
          <w:color w:val="auto"/>
        </w:rPr>
        <w:t>The f</w:t>
      </w:r>
      <w:r w:rsidR="00CD2603">
        <w:rPr>
          <w:rFonts w:ascii="Cambria" w:hAnsi="Cambria" w:cs="Times New Roman"/>
          <w:color w:val="auto"/>
        </w:rPr>
        <w:t>requency of dividend payment</w:t>
      </w:r>
      <w:r>
        <w:rPr>
          <w:rFonts w:ascii="Cambria" w:hAnsi="Cambria" w:cs="Times New Roman"/>
          <w:color w:val="auto"/>
        </w:rPr>
        <w:t>s</w:t>
      </w:r>
    </w:p>
    <w:p w14:paraId="427B22C7" w14:textId="07335105" w:rsidR="00CD2603" w:rsidRPr="00CD2603" w:rsidRDefault="005C16D7" w:rsidP="00A3777B">
      <w:pPr>
        <w:pStyle w:val="ListParagraph"/>
        <w:numPr>
          <w:ilvl w:val="0"/>
          <w:numId w:val="34"/>
        </w:numPr>
        <w:jc w:val="both"/>
        <w:rPr>
          <w:rFonts w:ascii="Cambria" w:hAnsi="Cambria"/>
          <w:color w:val="auto"/>
        </w:rPr>
      </w:pPr>
      <w:r>
        <w:rPr>
          <w:rFonts w:ascii="Cambria" w:hAnsi="Cambria" w:cs="Times New Roman"/>
          <w:color w:val="auto"/>
        </w:rPr>
        <w:t>The</w:t>
      </w:r>
      <w:r w:rsidRPr="00CD2603">
        <w:rPr>
          <w:rFonts w:ascii="Cambria" w:hAnsi="Cambria" w:cs="Times New Roman"/>
          <w:color w:val="auto"/>
        </w:rPr>
        <w:t xml:space="preserve"> </w:t>
      </w:r>
      <w:r w:rsidR="00CD2603" w:rsidRPr="00CD2603">
        <w:rPr>
          <w:rFonts w:ascii="Cambria" w:hAnsi="Cambria" w:cs="Times New Roman"/>
          <w:color w:val="auto"/>
        </w:rPr>
        <w:t>size of DR position</w:t>
      </w:r>
      <w:r>
        <w:rPr>
          <w:rFonts w:ascii="Cambria" w:hAnsi="Cambria" w:cs="Times New Roman"/>
          <w:color w:val="auto"/>
        </w:rPr>
        <w:t>s</w:t>
      </w:r>
      <w:r w:rsidR="00CD2603" w:rsidRPr="00CD2603">
        <w:rPr>
          <w:rFonts w:ascii="Cambria" w:hAnsi="Cambria" w:cs="Times New Roman"/>
          <w:color w:val="auto"/>
        </w:rPr>
        <w:t xml:space="preserve"> </w:t>
      </w:r>
      <w:r w:rsidR="00CD2603">
        <w:rPr>
          <w:rFonts w:ascii="Cambria" w:hAnsi="Cambria" w:cs="Times New Roman"/>
          <w:color w:val="auto"/>
        </w:rPr>
        <w:t xml:space="preserve">held </w:t>
      </w:r>
      <w:r w:rsidR="0073321F">
        <w:rPr>
          <w:rFonts w:ascii="Cambria" w:hAnsi="Cambria" w:cs="Times New Roman"/>
          <w:color w:val="auto"/>
        </w:rPr>
        <w:t>by</w:t>
      </w:r>
      <w:r w:rsidR="00CD2603" w:rsidRPr="00CD2603">
        <w:rPr>
          <w:rFonts w:ascii="Cambria" w:hAnsi="Cambria" w:cs="Times New Roman"/>
          <w:color w:val="auto"/>
        </w:rPr>
        <w:t xml:space="preserve"> strategic investors. </w:t>
      </w:r>
      <w:r>
        <w:rPr>
          <w:rFonts w:ascii="Cambria" w:hAnsi="Cambria" w:cs="Times New Roman"/>
          <w:color w:val="auto"/>
        </w:rPr>
        <w:t xml:space="preserve">  </w:t>
      </w:r>
      <w:r w:rsidR="00CD2603" w:rsidRPr="00CD2603">
        <w:rPr>
          <w:rFonts w:ascii="Cambria" w:hAnsi="Cambria" w:cs="Times New Roman"/>
          <w:color w:val="auto"/>
        </w:rPr>
        <w:t xml:space="preserve">Most strategic investors or </w:t>
      </w:r>
      <w:r>
        <w:rPr>
          <w:rFonts w:ascii="Cambria" w:hAnsi="Cambria" w:cs="Times New Roman"/>
          <w:color w:val="auto"/>
        </w:rPr>
        <w:t xml:space="preserve">members of </w:t>
      </w:r>
      <w:r w:rsidR="00CD2603">
        <w:rPr>
          <w:rFonts w:ascii="Cambria" w:hAnsi="Cambria" w:cs="Times New Roman"/>
          <w:color w:val="auto"/>
        </w:rPr>
        <w:t>top management who hold a significant stake in the</w:t>
      </w:r>
      <w:r w:rsidR="00CD2603" w:rsidRPr="00CD2603">
        <w:rPr>
          <w:rFonts w:ascii="Cambria" w:hAnsi="Cambria" w:cs="Times New Roman"/>
          <w:color w:val="auto"/>
        </w:rPr>
        <w:t xml:space="preserve"> company request </w:t>
      </w:r>
      <w:r>
        <w:rPr>
          <w:rFonts w:ascii="Cambria" w:hAnsi="Cambria" w:cs="Times New Roman"/>
          <w:color w:val="auto"/>
        </w:rPr>
        <w:t>a</w:t>
      </w:r>
      <w:r w:rsidRPr="00CD2603">
        <w:rPr>
          <w:rFonts w:ascii="Cambria" w:hAnsi="Cambria" w:cs="Times New Roman"/>
          <w:color w:val="auto"/>
        </w:rPr>
        <w:t xml:space="preserve"> </w:t>
      </w:r>
      <w:r w:rsidR="00CD2603" w:rsidRPr="00CD2603">
        <w:rPr>
          <w:rFonts w:ascii="Cambria" w:hAnsi="Cambria" w:cs="Times New Roman"/>
          <w:color w:val="auto"/>
        </w:rPr>
        <w:t xml:space="preserve">significant discount on their DR positions. </w:t>
      </w:r>
      <w:r>
        <w:rPr>
          <w:rFonts w:ascii="Cambria" w:hAnsi="Cambria" w:cs="Times New Roman"/>
          <w:color w:val="auto"/>
        </w:rPr>
        <w:t xml:space="preserve">  </w:t>
      </w:r>
      <w:r w:rsidR="00CD2603" w:rsidRPr="00CD2603">
        <w:rPr>
          <w:rFonts w:ascii="Cambria" w:hAnsi="Cambria" w:cs="Times New Roman"/>
          <w:color w:val="auto"/>
        </w:rPr>
        <w:t xml:space="preserve">As a result, depositary banks have to factor in offered discounts </w:t>
      </w:r>
      <w:r w:rsidR="00CD2603">
        <w:rPr>
          <w:rFonts w:ascii="Cambria" w:hAnsi="Cambria" w:cs="Times New Roman"/>
          <w:color w:val="auto"/>
        </w:rPr>
        <w:t xml:space="preserve">to their P&amp;L. </w:t>
      </w:r>
    </w:p>
    <w:p w14:paraId="4065EF1C" w14:textId="51E884FB" w:rsidR="005C16D7" w:rsidRDefault="005C16D7" w:rsidP="00CD2603">
      <w:pPr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Since </w:t>
      </w:r>
      <w:r w:rsidR="00CD2603">
        <w:rPr>
          <w:rFonts w:ascii="Cambria" w:hAnsi="Cambria"/>
          <w:color w:val="auto"/>
        </w:rPr>
        <w:t>many variables can impact the pricing model, depositary banks employ the</w:t>
      </w:r>
      <w:r w:rsidR="00CC1F15">
        <w:rPr>
          <w:rFonts w:ascii="Cambria" w:hAnsi="Cambria"/>
          <w:color w:val="auto"/>
        </w:rPr>
        <w:t>ir own</w:t>
      </w:r>
      <w:r w:rsidR="00CD2603">
        <w:rPr>
          <w:rFonts w:ascii="Cambria" w:hAnsi="Cambria"/>
          <w:color w:val="auto"/>
        </w:rPr>
        <w:t xml:space="preserve"> </w:t>
      </w:r>
      <w:r w:rsidR="0073321F">
        <w:rPr>
          <w:rFonts w:ascii="Cambria" w:hAnsi="Cambria"/>
          <w:color w:val="auto"/>
        </w:rPr>
        <w:t xml:space="preserve">standard </w:t>
      </w:r>
      <w:r w:rsidR="00CC1F15">
        <w:rPr>
          <w:rFonts w:ascii="Cambria" w:hAnsi="Cambria"/>
          <w:color w:val="auto"/>
        </w:rPr>
        <w:t>pricing multiple</w:t>
      </w:r>
      <w:r>
        <w:rPr>
          <w:rFonts w:ascii="Cambria" w:hAnsi="Cambria"/>
          <w:color w:val="auto"/>
        </w:rPr>
        <w:t>,</w:t>
      </w:r>
      <w:r w:rsidR="0073321F">
        <w:rPr>
          <w:rFonts w:ascii="Cambria" w:hAnsi="Cambria"/>
          <w:color w:val="auto"/>
        </w:rPr>
        <w:t xml:space="preserve"> </w:t>
      </w:r>
      <w:r>
        <w:rPr>
          <w:rFonts w:ascii="Cambria" w:hAnsi="Cambria"/>
          <w:color w:val="auto"/>
        </w:rPr>
        <w:t>so</w:t>
      </w:r>
      <w:r w:rsidR="0073321F">
        <w:rPr>
          <w:rFonts w:ascii="Cambria" w:hAnsi="Cambria"/>
          <w:color w:val="auto"/>
        </w:rPr>
        <w:t xml:space="preserve"> companies </w:t>
      </w:r>
      <w:r>
        <w:rPr>
          <w:rFonts w:ascii="Cambria" w:hAnsi="Cambria"/>
          <w:color w:val="auto"/>
        </w:rPr>
        <w:t xml:space="preserve">can </w:t>
      </w:r>
      <w:r w:rsidR="0073321F">
        <w:rPr>
          <w:rFonts w:ascii="Cambria" w:hAnsi="Cambria"/>
          <w:color w:val="auto"/>
        </w:rPr>
        <w:t xml:space="preserve">compare </w:t>
      </w:r>
      <w:r w:rsidR="00E20389">
        <w:rPr>
          <w:rFonts w:ascii="Cambria" w:hAnsi="Cambria"/>
          <w:color w:val="auto"/>
        </w:rPr>
        <w:t xml:space="preserve">the </w:t>
      </w:r>
      <w:r>
        <w:rPr>
          <w:rFonts w:ascii="Cambria" w:hAnsi="Cambria"/>
          <w:color w:val="auto"/>
        </w:rPr>
        <w:t>pricing multiple</w:t>
      </w:r>
      <w:r w:rsidDel="005C16D7">
        <w:rPr>
          <w:rFonts w:ascii="Cambria" w:hAnsi="Cambria"/>
          <w:color w:val="auto"/>
        </w:rPr>
        <w:t xml:space="preserve"> </w:t>
      </w:r>
      <w:r w:rsidR="00E20389">
        <w:rPr>
          <w:rFonts w:ascii="Cambria" w:hAnsi="Cambria"/>
          <w:color w:val="auto"/>
        </w:rPr>
        <w:t xml:space="preserve">of </w:t>
      </w:r>
      <w:r w:rsidR="0073321F">
        <w:rPr>
          <w:rFonts w:ascii="Cambria" w:hAnsi="Cambria"/>
          <w:color w:val="auto"/>
        </w:rPr>
        <w:t xml:space="preserve">all </w:t>
      </w:r>
      <w:r w:rsidR="00F57F33">
        <w:rPr>
          <w:rFonts w:ascii="Cambria" w:hAnsi="Cambria"/>
          <w:color w:val="auto"/>
        </w:rPr>
        <w:t>four</w:t>
      </w:r>
      <w:r>
        <w:rPr>
          <w:rFonts w:ascii="Cambria" w:hAnsi="Cambria"/>
          <w:color w:val="auto"/>
        </w:rPr>
        <w:t xml:space="preserve"> </w:t>
      </w:r>
      <w:r w:rsidR="00F57F33">
        <w:rPr>
          <w:rFonts w:ascii="Cambria" w:hAnsi="Cambria"/>
          <w:color w:val="auto"/>
        </w:rPr>
        <w:t>depositary</w:t>
      </w:r>
      <w:r w:rsidR="00E20389">
        <w:rPr>
          <w:rFonts w:ascii="Cambria" w:hAnsi="Cambria"/>
          <w:color w:val="auto"/>
        </w:rPr>
        <w:t xml:space="preserve"> banks</w:t>
      </w:r>
      <w:r w:rsidR="00CC1F15">
        <w:rPr>
          <w:rFonts w:ascii="Cambria" w:hAnsi="Cambria"/>
          <w:color w:val="auto"/>
        </w:rPr>
        <w:t xml:space="preserve">. </w:t>
      </w:r>
      <w:r>
        <w:rPr>
          <w:rFonts w:ascii="Cambria" w:hAnsi="Cambria"/>
          <w:color w:val="auto"/>
        </w:rPr>
        <w:t xml:space="preserve"> </w:t>
      </w:r>
    </w:p>
    <w:p w14:paraId="321D36DE" w14:textId="1F4D571D" w:rsidR="00764D78" w:rsidRDefault="005C16D7" w:rsidP="00C518AF">
      <w:pPr>
        <w:pStyle w:val="ListParagraph"/>
        <w:numPr>
          <w:ilvl w:val="0"/>
          <w:numId w:val="54"/>
        </w:numPr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 </w:t>
      </w:r>
      <w:r w:rsidR="00CC1F15" w:rsidRPr="00C518AF">
        <w:rPr>
          <w:rFonts w:ascii="Cambria" w:hAnsi="Cambria"/>
          <w:color w:val="auto"/>
        </w:rPr>
        <w:t>The first pricing multiple</w:t>
      </w:r>
      <w:r w:rsidR="00CF5E1B" w:rsidRPr="00C518AF">
        <w:rPr>
          <w:rFonts w:ascii="Cambria" w:hAnsi="Cambria"/>
          <w:color w:val="auto"/>
        </w:rPr>
        <w:t xml:space="preserve"> </w:t>
      </w:r>
      <w:r w:rsidR="00CC1F15" w:rsidRPr="00C518AF">
        <w:rPr>
          <w:rFonts w:ascii="Cambria" w:hAnsi="Cambria"/>
          <w:color w:val="auto"/>
        </w:rPr>
        <w:t xml:space="preserve">is </w:t>
      </w:r>
      <w:r>
        <w:rPr>
          <w:rFonts w:ascii="Cambria" w:hAnsi="Cambria"/>
          <w:color w:val="auto"/>
        </w:rPr>
        <w:t xml:space="preserve">a </w:t>
      </w:r>
      <w:r w:rsidR="00CC1F15" w:rsidRPr="00C518AF">
        <w:rPr>
          <w:rFonts w:ascii="Cambria" w:hAnsi="Cambria"/>
          <w:color w:val="auto"/>
        </w:rPr>
        <w:t xml:space="preserve">percentage (%) of </w:t>
      </w:r>
      <w:r>
        <w:rPr>
          <w:rFonts w:ascii="Cambria" w:hAnsi="Cambria"/>
          <w:color w:val="auto"/>
        </w:rPr>
        <w:t>the d</w:t>
      </w:r>
      <w:r w:rsidR="00CC1F15" w:rsidRPr="00C518AF">
        <w:rPr>
          <w:rFonts w:ascii="Cambria" w:hAnsi="Cambria"/>
          <w:color w:val="auto"/>
        </w:rPr>
        <w:t xml:space="preserve">epositary’s revenue. </w:t>
      </w:r>
      <w:r>
        <w:rPr>
          <w:rFonts w:ascii="Cambria" w:hAnsi="Cambria"/>
          <w:color w:val="auto"/>
        </w:rPr>
        <w:t xml:space="preserve">  </w:t>
      </w:r>
      <w:r w:rsidR="0073321F" w:rsidRPr="00C518AF">
        <w:rPr>
          <w:rFonts w:ascii="Cambria" w:hAnsi="Cambria"/>
          <w:color w:val="auto"/>
        </w:rPr>
        <w:t xml:space="preserve">This </w:t>
      </w:r>
      <w:r w:rsidR="00F57F33" w:rsidRPr="00C518AF">
        <w:rPr>
          <w:rFonts w:ascii="Cambria" w:hAnsi="Cambria"/>
          <w:color w:val="auto"/>
        </w:rPr>
        <w:t>multiple</w:t>
      </w:r>
      <w:r w:rsidR="0073321F" w:rsidRPr="00C518AF">
        <w:rPr>
          <w:rFonts w:ascii="Cambria" w:hAnsi="Cambria"/>
          <w:color w:val="auto"/>
        </w:rPr>
        <w:t xml:space="preserve"> can be priced based on the depositary bank’s </w:t>
      </w:r>
      <w:r>
        <w:rPr>
          <w:rFonts w:ascii="Cambria" w:hAnsi="Cambria"/>
          <w:color w:val="auto"/>
        </w:rPr>
        <w:t>n</w:t>
      </w:r>
      <w:r w:rsidR="0073321F" w:rsidRPr="00C518AF">
        <w:rPr>
          <w:rFonts w:ascii="Cambria" w:hAnsi="Cambria"/>
          <w:color w:val="auto"/>
        </w:rPr>
        <w:t xml:space="preserve">et or </w:t>
      </w:r>
      <w:r>
        <w:rPr>
          <w:rFonts w:ascii="Cambria" w:hAnsi="Cambria"/>
          <w:color w:val="auto"/>
        </w:rPr>
        <w:t>g</w:t>
      </w:r>
      <w:r w:rsidR="0073321F" w:rsidRPr="00C518AF">
        <w:rPr>
          <w:rFonts w:ascii="Cambria" w:hAnsi="Cambria"/>
          <w:color w:val="auto"/>
        </w:rPr>
        <w:t xml:space="preserve">ross revenue. </w:t>
      </w:r>
      <w:r>
        <w:rPr>
          <w:rFonts w:ascii="Cambria" w:hAnsi="Cambria"/>
          <w:color w:val="auto"/>
        </w:rPr>
        <w:t xml:space="preserve"> </w:t>
      </w:r>
      <w:r w:rsidR="0073321F" w:rsidRPr="00C518AF">
        <w:rPr>
          <w:rFonts w:ascii="Cambria" w:hAnsi="Cambria"/>
          <w:color w:val="auto"/>
        </w:rPr>
        <w:t>Based o</w:t>
      </w:r>
      <w:r w:rsidR="00F57F33" w:rsidRPr="00C518AF">
        <w:rPr>
          <w:rFonts w:ascii="Cambria" w:hAnsi="Cambria"/>
          <w:color w:val="auto"/>
        </w:rPr>
        <w:t xml:space="preserve">n our experience, </w:t>
      </w:r>
      <w:r w:rsidR="00F57F33" w:rsidRPr="00C518AF">
        <w:rPr>
          <w:rFonts w:ascii="Cambria" w:hAnsi="Cambria"/>
          <w:color w:val="auto"/>
        </w:rPr>
        <w:lastRenderedPageBreak/>
        <w:t>many companies fall into</w:t>
      </w:r>
      <w:r w:rsidR="00E20389" w:rsidRPr="00C518AF">
        <w:rPr>
          <w:rFonts w:ascii="Cambria" w:hAnsi="Cambria"/>
          <w:color w:val="auto"/>
        </w:rPr>
        <w:t xml:space="preserve"> </w:t>
      </w:r>
      <w:r w:rsidR="00764D78">
        <w:rPr>
          <w:rFonts w:ascii="Cambria" w:hAnsi="Cambria"/>
          <w:color w:val="auto"/>
        </w:rPr>
        <w:t xml:space="preserve">a </w:t>
      </w:r>
      <w:r w:rsidR="00E20389" w:rsidRPr="00C518AF">
        <w:rPr>
          <w:rFonts w:ascii="Cambria" w:hAnsi="Cambria"/>
          <w:color w:val="auto"/>
        </w:rPr>
        <w:t xml:space="preserve">trap by </w:t>
      </w:r>
      <w:r w:rsidR="00F57F33" w:rsidRPr="00C518AF">
        <w:rPr>
          <w:rFonts w:ascii="Cambria" w:hAnsi="Cambria"/>
          <w:color w:val="auto"/>
        </w:rPr>
        <w:t xml:space="preserve">signing </w:t>
      </w:r>
      <w:r w:rsidR="00E20389" w:rsidRPr="00C518AF">
        <w:rPr>
          <w:rFonts w:ascii="Cambria" w:hAnsi="Cambria"/>
          <w:color w:val="auto"/>
        </w:rPr>
        <w:t>an Engagement Letter</w:t>
      </w:r>
      <w:r w:rsidR="00F57F33" w:rsidRPr="00C518AF">
        <w:rPr>
          <w:rFonts w:ascii="Cambria" w:hAnsi="Cambria"/>
          <w:color w:val="auto"/>
        </w:rPr>
        <w:t xml:space="preserve"> where</w:t>
      </w:r>
      <w:r w:rsidR="00764D78">
        <w:rPr>
          <w:rFonts w:ascii="Cambria" w:hAnsi="Cambria"/>
          <w:color w:val="auto"/>
        </w:rPr>
        <w:t xml:space="preserve"> </w:t>
      </w:r>
      <w:r w:rsidR="00F57F33" w:rsidRPr="00C518AF">
        <w:rPr>
          <w:rFonts w:ascii="Cambria" w:hAnsi="Cambria"/>
          <w:color w:val="auto"/>
        </w:rPr>
        <w:t>the</w:t>
      </w:r>
      <w:r w:rsidR="00764D78">
        <w:rPr>
          <w:rFonts w:ascii="Cambria" w:hAnsi="Cambria"/>
          <w:color w:val="auto"/>
        </w:rPr>
        <w:t xml:space="preserve"> </w:t>
      </w:r>
      <w:r w:rsidR="00764D78" w:rsidRPr="00EA73F2">
        <w:rPr>
          <w:rFonts w:ascii="Cambria" w:hAnsi="Cambria"/>
          <w:color w:val="auto"/>
        </w:rPr>
        <w:t>reimbursement</w:t>
      </w:r>
      <w:r w:rsidR="00764D78">
        <w:rPr>
          <w:rFonts w:ascii="Cambria" w:hAnsi="Cambria"/>
          <w:color w:val="auto"/>
        </w:rPr>
        <w:t>’s</w:t>
      </w:r>
      <w:r w:rsidR="00F57F33" w:rsidRPr="00C518AF">
        <w:rPr>
          <w:rFonts w:ascii="Cambria" w:hAnsi="Cambria"/>
          <w:color w:val="auto"/>
        </w:rPr>
        <w:t xml:space="preserve"> pricing </w:t>
      </w:r>
      <w:r w:rsidR="00CF5E1B" w:rsidRPr="00C518AF">
        <w:rPr>
          <w:rFonts w:ascii="Cambria" w:hAnsi="Cambria"/>
          <w:color w:val="auto"/>
        </w:rPr>
        <w:t>is structured under the net basis</w:t>
      </w:r>
      <w:r w:rsidR="00F57F33" w:rsidRPr="00C518AF">
        <w:rPr>
          <w:rFonts w:ascii="Cambria" w:hAnsi="Cambria"/>
          <w:color w:val="auto"/>
        </w:rPr>
        <w:t xml:space="preserve">. </w:t>
      </w:r>
      <w:r w:rsidR="00764D78">
        <w:rPr>
          <w:rFonts w:ascii="Cambria" w:hAnsi="Cambria"/>
          <w:color w:val="auto"/>
        </w:rPr>
        <w:t xml:space="preserve">  </w:t>
      </w:r>
      <w:r w:rsidR="00F57F33" w:rsidRPr="00C518AF">
        <w:rPr>
          <w:rFonts w:ascii="Cambria" w:hAnsi="Cambria"/>
          <w:color w:val="auto"/>
        </w:rPr>
        <w:t xml:space="preserve">We suggest that companies should always ask for </w:t>
      </w:r>
      <w:r w:rsidR="00E20389" w:rsidRPr="00C518AF">
        <w:rPr>
          <w:rFonts w:ascii="Cambria" w:hAnsi="Cambria"/>
          <w:color w:val="auto"/>
        </w:rPr>
        <w:t xml:space="preserve">the gross revenue sharing or, </w:t>
      </w:r>
      <w:r w:rsidR="00F57F33" w:rsidRPr="00C518AF">
        <w:rPr>
          <w:rFonts w:ascii="Cambria" w:hAnsi="Cambria"/>
          <w:color w:val="auto"/>
        </w:rPr>
        <w:t>at least</w:t>
      </w:r>
      <w:r w:rsidR="00E20389" w:rsidRPr="00C518AF">
        <w:rPr>
          <w:rFonts w:ascii="Cambria" w:hAnsi="Cambria"/>
          <w:color w:val="auto"/>
        </w:rPr>
        <w:t>,</w:t>
      </w:r>
      <w:r w:rsidR="00F57F33" w:rsidRPr="00C518AF">
        <w:rPr>
          <w:rFonts w:ascii="Cambria" w:hAnsi="Cambria"/>
          <w:color w:val="auto"/>
        </w:rPr>
        <w:t xml:space="preserve"> calculate the difference </w:t>
      </w:r>
      <w:r w:rsidR="00CF5E1B" w:rsidRPr="00C518AF">
        <w:rPr>
          <w:rFonts w:ascii="Cambria" w:hAnsi="Cambria"/>
          <w:color w:val="auto"/>
        </w:rPr>
        <w:t xml:space="preserve">of </w:t>
      </w:r>
      <w:r w:rsidR="00F57F33" w:rsidRPr="00C518AF">
        <w:rPr>
          <w:rFonts w:ascii="Cambria" w:hAnsi="Cambria"/>
          <w:color w:val="auto"/>
        </w:rPr>
        <w:t xml:space="preserve">the percentage allocation between </w:t>
      </w:r>
      <w:r w:rsidR="00764D78">
        <w:rPr>
          <w:rFonts w:ascii="Cambria" w:hAnsi="Cambria"/>
          <w:color w:val="auto"/>
        </w:rPr>
        <w:t>g</w:t>
      </w:r>
      <w:r w:rsidR="00F57F33" w:rsidRPr="00C518AF">
        <w:rPr>
          <w:rFonts w:ascii="Cambria" w:hAnsi="Cambria"/>
          <w:color w:val="auto"/>
        </w:rPr>
        <w:t xml:space="preserve">ross and </w:t>
      </w:r>
      <w:r w:rsidR="00764D78">
        <w:rPr>
          <w:rFonts w:ascii="Cambria" w:hAnsi="Cambria"/>
          <w:color w:val="auto"/>
        </w:rPr>
        <w:t>n</w:t>
      </w:r>
      <w:r w:rsidR="00E20389" w:rsidRPr="00C518AF">
        <w:rPr>
          <w:rFonts w:ascii="Cambria" w:hAnsi="Cambria"/>
          <w:color w:val="auto"/>
        </w:rPr>
        <w:t>et revenue</w:t>
      </w:r>
      <w:r w:rsidR="00764D78">
        <w:rPr>
          <w:rFonts w:ascii="Cambria" w:hAnsi="Cambria"/>
          <w:color w:val="auto"/>
        </w:rPr>
        <w:t>-</w:t>
      </w:r>
      <w:r w:rsidR="00E20389" w:rsidRPr="00C518AF">
        <w:rPr>
          <w:rFonts w:ascii="Cambria" w:hAnsi="Cambria"/>
          <w:color w:val="auto"/>
        </w:rPr>
        <w:t xml:space="preserve">sharing before signing the </w:t>
      </w:r>
      <w:r w:rsidR="00764D78">
        <w:rPr>
          <w:rFonts w:ascii="Cambria" w:hAnsi="Cambria"/>
          <w:color w:val="auto"/>
        </w:rPr>
        <w:t>A</w:t>
      </w:r>
      <w:r w:rsidR="00E20389" w:rsidRPr="00C518AF">
        <w:rPr>
          <w:rFonts w:ascii="Cambria" w:hAnsi="Cambria"/>
          <w:color w:val="auto"/>
        </w:rPr>
        <w:t xml:space="preserve">greement.  </w:t>
      </w:r>
    </w:p>
    <w:p w14:paraId="06E57BCD" w14:textId="77777777" w:rsidR="00764D78" w:rsidRDefault="00764D78" w:rsidP="00C518AF">
      <w:pPr>
        <w:pStyle w:val="ListParagraph"/>
        <w:jc w:val="both"/>
        <w:rPr>
          <w:rFonts w:ascii="Cambria" w:hAnsi="Cambria"/>
          <w:color w:val="auto"/>
        </w:rPr>
      </w:pPr>
    </w:p>
    <w:p w14:paraId="08F1FE7E" w14:textId="64D08E92" w:rsidR="00F57F33" w:rsidRPr="00C518AF" w:rsidRDefault="00E20389" w:rsidP="00C518AF">
      <w:pPr>
        <w:pStyle w:val="ListParagraph"/>
        <w:numPr>
          <w:ilvl w:val="0"/>
          <w:numId w:val="54"/>
        </w:numPr>
        <w:jc w:val="both"/>
        <w:rPr>
          <w:rFonts w:ascii="Cambria" w:hAnsi="Cambria"/>
          <w:color w:val="auto"/>
        </w:rPr>
      </w:pPr>
      <w:r w:rsidRPr="00C518AF">
        <w:rPr>
          <w:rFonts w:ascii="Cambria" w:hAnsi="Cambria"/>
          <w:color w:val="auto"/>
        </w:rPr>
        <w:t xml:space="preserve">The second pricing multiple is </w:t>
      </w:r>
      <w:r w:rsidR="00764D78">
        <w:rPr>
          <w:rFonts w:ascii="Cambria" w:hAnsi="Cambria"/>
          <w:color w:val="auto"/>
        </w:rPr>
        <w:t xml:space="preserve">based on </w:t>
      </w:r>
      <w:r w:rsidRPr="00C518AF">
        <w:rPr>
          <w:rFonts w:ascii="Cambria" w:hAnsi="Cambria"/>
          <w:color w:val="auto"/>
        </w:rPr>
        <w:t xml:space="preserve">a certain amount reimbursed per every one (1) million DRs issued.  </w:t>
      </w:r>
      <w:r w:rsidR="00764D78">
        <w:rPr>
          <w:rFonts w:ascii="Cambria" w:hAnsi="Cambria"/>
          <w:color w:val="auto"/>
        </w:rPr>
        <w:t xml:space="preserve"> </w:t>
      </w:r>
      <w:r w:rsidRPr="00C518AF">
        <w:rPr>
          <w:rFonts w:ascii="Cambria" w:hAnsi="Cambria"/>
          <w:color w:val="auto"/>
        </w:rPr>
        <w:t xml:space="preserve">For example, the depositary bank can price the reimbursement based on $140,000 per one million DRs issued or transferred. </w:t>
      </w:r>
    </w:p>
    <w:p w14:paraId="46BCE537" w14:textId="10F1CD9F" w:rsidR="00E724FE" w:rsidRPr="00CD2603" w:rsidRDefault="00E724FE" w:rsidP="00CD2603">
      <w:pPr>
        <w:jc w:val="both"/>
        <w:rPr>
          <w:rFonts w:ascii="Cambria" w:hAnsi="Cambria"/>
          <w:color w:val="auto"/>
        </w:rPr>
      </w:pPr>
      <w:r w:rsidRPr="00CD2603">
        <w:rPr>
          <w:rFonts w:ascii="Cambria" w:hAnsi="Cambria"/>
          <w:color w:val="auto"/>
        </w:rPr>
        <w:t xml:space="preserve">As the main guideline for evaluating depositary banks, a company should ask the following questions: </w:t>
      </w:r>
    </w:p>
    <w:p w14:paraId="57B246B8" w14:textId="276A185E" w:rsidR="00E724FE" w:rsidRPr="004355D2" w:rsidRDefault="00E724FE" w:rsidP="00F104A0">
      <w:pPr>
        <w:pStyle w:val="NormalWeb"/>
        <w:numPr>
          <w:ilvl w:val="0"/>
          <w:numId w:val="32"/>
        </w:numPr>
        <w:spacing w:beforeLines="1" w:before="2" w:beforeAutospacing="0" w:afterLines="1" w:after="2" w:afterAutospacing="0"/>
        <w:jc w:val="both"/>
        <w:rPr>
          <w:rFonts w:ascii="Cambria" w:eastAsiaTheme="minorHAnsi" w:hAnsi="Cambria"/>
          <w:color w:val="auto"/>
          <w:szCs w:val="20"/>
        </w:rPr>
      </w:pPr>
      <w:r>
        <w:rPr>
          <w:rFonts w:ascii="Cambria" w:hAnsi="Cambria"/>
          <w:color w:val="auto"/>
        </w:rPr>
        <w:t xml:space="preserve">What a percent of the reimbursement allocation </w:t>
      </w:r>
      <w:r w:rsidR="00764D78">
        <w:rPr>
          <w:rFonts w:ascii="Cambria" w:hAnsi="Cambria"/>
          <w:color w:val="auto"/>
        </w:rPr>
        <w:t xml:space="preserve">is taken </w:t>
      </w:r>
      <w:r>
        <w:rPr>
          <w:rFonts w:ascii="Cambria" w:hAnsi="Cambria"/>
          <w:color w:val="auto"/>
        </w:rPr>
        <w:t xml:space="preserve">from a </w:t>
      </w:r>
      <w:r w:rsidRPr="004355D2">
        <w:rPr>
          <w:rFonts w:ascii="Cambria" w:hAnsi="Cambria"/>
          <w:color w:val="auto"/>
        </w:rPr>
        <w:t>depositary bank</w:t>
      </w:r>
      <w:r>
        <w:rPr>
          <w:rFonts w:ascii="Cambria" w:hAnsi="Cambria"/>
          <w:color w:val="auto"/>
        </w:rPr>
        <w:t xml:space="preserve">’s gross revenue? </w:t>
      </w:r>
    </w:p>
    <w:p w14:paraId="6D4FF594" w14:textId="2C358C31" w:rsidR="00E724FE" w:rsidRPr="004355D2" w:rsidRDefault="00E724FE" w:rsidP="00F104A0">
      <w:pPr>
        <w:pStyle w:val="NormalWeb"/>
        <w:numPr>
          <w:ilvl w:val="0"/>
          <w:numId w:val="32"/>
        </w:numPr>
        <w:spacing w:beforeLines="1" w:before="2" w:beforeAutospacing="0" w:afterLines="1" w:after="2" w:afterAutospacing="0"/>
        <w:jc w:val="both"/>
        <w:rPr>
          <w:rFonts w:ascii="Cambria" w:eastAsiaTheme="minorHAnsi" w:hAnsi="Cambria"/>
          <w:color w:val="auto"/>
          <w:szCs w:val="20"/>
        </w:rPr>
      </w:pPr>
      <w:r w:rsidRPr="004355D2">
        <w:rPr>
          <w:rFonts w:ascii="Cambria" w:hAnsi="Cambria"/>
          <w:color w:val="auto"/>
        </w:rPr>
        <w:t xml:space="preserve">How much does the depositary bank charge DR holders? </w:t>
      </w:r>
    </w:p>
    <w:p w14:paraId="2F8D2ED2" w14:textId="77777777" w:rsidR="00E724FE" w:rsidRPr="004355D2" w:rsidRDefault="00E724FE" w:rsidP="00F104A0">
      <w:pPr>
        <w:pStyle w:val="NormalWeb"/>
        <w:numPr>
          <w:ilvl w:val="0"/>
          <w:numId w:val="32"/>
        </w:numPr>
        <w:spacing w:beforeLines="1" w:before="2" w:afterLines="1" w:after="2"/>
        <w:jc w:val="both"/>
        <w:rPr>
          <w:rFonts w:ascii="Cambria" w:hAnsi="Cambria"/>
          <w:color w:val="auto"/>
        </w:rPr>
      </w:pPr>
      <w:r w:rsidRPr="004355D2">
        <w:rPr>
          <w:rFonts w:ascii="Cambria" w:hAnsi="Cambria"/>
          <w:color w:val="auto"/>
        </w:rPr>
        <w:t xml:space="preserve">How is the depositary positioned with investors and other global market participants? </w:t>
      </w:r>
    </w:p>
    <w:p w14:paraId="5649F219" w14:textId="1FB2C616" w:rsidR="00E724FE" w:rsidRPr="004355D2" w:rsidRDefault="00E724FE" w:rsidP="00F104A0">
      <w:pPr>
        <w:numPr>
          <w:ilvl w:val="0"/>
          <w:numId w:val="32"/>
        </w:numPr>
        <w:spacing w:beforeLines="1" w:before="2" w:afterLines="1" w:after="2"/>
        <w:jc w:val="both"/>
        <w:rPr>
          <w:rFonts w:ascii="Cambria" w:hAnsi="Cambria" w:cs="Times New Roman"/>
          <w:color w:val="auto"/>
          <w:szCs w:val="20"/>
        </w:rPr>
      </w:pPr>
      <w:r w:rsidRPr="004355D2">
        <w:rPr>
          <w:rFonts w:ascii="Cambria" w:hAnsi="Cambria" w:cs="Times New Roman"/>
          <w:color w:val="auto"/>
          <w:szCs w:val="16"/>
        </w:rPr>
        <w:t xml:space="preserve">What peers in your region and worldwide </w:t>
      </w:r>
      <w:r w:rsidR="00764D78">
        <w:rPr>
          <w:rFonts w:ascii="Cambria" w:hAnsi="Cambria" w:cs="Times New Roman"/>
          <w:color w:val="auto"/>
          <w:szCs w:val="16"/>
        </w:rPr>
        <w:t xml:space="preserve">are excellent </w:t>
      </w:r>
      <w:r w:rsidR="00764D78">
        <w:rPr>
          <w:rFonts w:ascii="Cambria" w:hAnsi="Cambria" w:cs="Times New Roman"/>
          <w:color w:val="auto"/>
          <w:szCs w:val="20"/>
        </w:rPr>
        <w:t>examples of</w:t>
      </w:r>
      <w:r w:rsidR="00764D78" w:rsidRPr="004355D2">
        <w:rPr>
          <w:rFonts w:ascii="Cambria" w:hAnsi="Cambria" w:cs="Times New Roman"/>
          <w:color w:val="auto"/>
          <w:szCs w:val="16"/>
        </w:rPr>
        <w:t xml:space="preserve"> </w:t>
      </w:r>
      <w:r w:rsidRPr="004355D2">
        <w:rPr>
          <w:rFonts w:ascii="Cambria" w:hAnsi="Cambria" w:cs="Times New Roman"/>
          <w:color w:val="auto"/>
          <w:szCs w:val="16"/>
        </w:rPr>
        <w:t>how the depositary has managed liquid DR progra</w:t>
      </w:r>
      <w:r>
        <w:rPr>
          <w:rFonts w:ascii="Cambria" w:hAnsi="Cambria" w:cs="Times New Roman"/>
          <w:color w:val="auto"/>
          <w:szCs w:val="16"/>
        </w:rPr>
        <w:t>ms?</w:t>
      </w:r>
    </w:p>
    <w:p w14:paraId="6DD991AE" w14:textId="69C12159" w:rsidR="00E724FE" w:rsidRDefault="00E724FE" w:rsidP="00F104A0">
      <w:pPr>
        <w:numPr>
          <w:ilvl w:val="0"/>
          <w:numId w:val="32"/>
        </w:numPr>
        <w:spacing w:beforeLines="1" w:before="2" w:afterLines="1" w:after="2"/>
        <w:jc w:val="both"/>
        <w:rPr>
          <w:rFonts w:ascii="Cambria" w:hAnsi="Cambria" w:cs="Times New Roman"/>
          <w:color w:val="auto"/>
          <w:szCs w:val="20"/>
        </w:rPr>
      </w:pPr>
      <w:r>
        <w:rPr>
          <w:rFonts w:ascii="Cambria" w:hAnsi="Cambria" w:cs="Times New Roman"/>
          <w:color w:val="auto"/>
          <w:szCs w:val="20"/>
        </w:rPr>
        <w:t xml:space="preserve">What is the </w:t>
      </w:r>
      <w:r w:rsidR="00764D78">
        <w:rPr>
          <w:rFonts w:ascii="Cambria" w:hAnsi="Cambria" w:cs="Times New Roman"/>
          <w:color w:val="auto"/>
          <w:szCs w:val="20"/>
        </w:rPr>
        <w:t>d</w:t>
      </w:r>
      <w:r>
        <w:rPr>
          <w:rFonts w:ascii="Cambria" w:hAnsi="Cambria" w:cs="Times New Roman"/>
          <w:color w:val="auto"/>
          <w:szCs w:val="20"/>
        </w:rPr>
        <w:t xml:space="preserve">epositary </w:t>
      </w:r>
      <w:r w:rsidR="00764D78">
        <w:rPr>
          <w:rFonts w:ascii="Cambria" w:hAnsi="Cambria" w:cs="Times New Roman"/>
          <w:color w:val="auto"/>
          <w:szCs w:val="20"/>
        </w:rPr>
        <w:t>b</w:t>
      </w:r>
      <w:r>
        <w:rPr>
          <w:rFonts w:ascii="Cambria" w:hAnsi="Cambria" w:cs="Times New Roman"/>
          <w:color w:val="auto"/>
          <w:szCs w:val="20"/>
        </w:rPr>
        <w:t xml:space="preserve">ank’s client portfolio? </w:t>
      </w:r>
    </w:p>
    <w:p w14:paraId="4EB6AFEE" w14:textId="18EC86A7" w:rsidR="00E724FE" w:rsidRDefault="00E724FE" w:rsidP="00F104A0">
      <w:pPr>
        <w:numPr>
          <w:ilvl w:val="0"/>
          <w:numId w:val="32"/>
        </w:numPr>
        <w:spacing w:beforeLines="1" w:before="2" w:afterLines="1" w:after="2"/>
        <w:jc w:val="both"/>
        <w:rPr>
          <w:rFonts w:ascii="Cambria" w:hAnsi="Cambria" w:cs="Times New Roman"/>
          <w:color w:val="auto"/>
          <w:szCs w:val="20"/>
        </w:rPr>
      </w:pPr>
      <w:r>
        <w:rPr>
          <w:rFonts w:ascii="Cambria" w:hAnsi="Cambria" w:cs="Times New Roman"/>
          <w:color w:val="auto"/>
          <w:szCs w:val="20"/>
        </w:rPr>
        <w:t xml:space="preserve">Does the depositary bank provide </w:t>
      </w:r>
      <w:r w:rsidR="00173484">
        <w:rPr>
          <w:rFonts w:ascii="Cambria" w:hAnsi="Cambria" w:cs="Times New Roman"/>
          <w:color w:val="auto"/>
          <w:szCs w:val="20"/>
        </w:rPr>
        <w:t xml:space="preserve">investor relations </w:t>
      </w:r>
      <w:r>
        <w:rPr>
          <w:rFonts w:ascii="Cambria" w:hAnsi="Cambria" w:cs="Times New Roman"/>
          <w:color w:val="auto"/>
          <w:szCs w:val="20"/>
        </w:rPr>
        <w:t xml:space="preserve">and </w:t>
      </w:r>
      <w:r w:rsidR="00764D78">
        <w:rPr>
          <w:rFonts w:ascii="Cambria" w:hAnsi="Cambria" w:cs="Times New Roman"/>
          <w:color w:val="auto"/>
          <w:szCs w:val="20"/>
        </w:rPr>
        <w:t xml:space="preserve">corporate governance </w:t>
      </w:r>
      <w:r>
        <w:rPr>
          <w:rFonts w:ascii="Cambria" w:hAnsi="Cambria" w:cs="Times New Roman"/>
          <w:color w:val="auto"/>
          <w:szCs w:val="20"/>
        </w:rPr>
        <w:t xml:space="preserve">services? </w:t>
      </w:r>
      <w:r w:rsidR="00764D78">
        <w:rPr>
          <w:rFonts w:ascii="Cambria" w:hAnsi="Cambria" w:cs="Times New Roman"/>
          <w:color w:val="auto"/>
          <w:szCs w:val="20"/>
        </w:rPr>
        <w:t xml:space="preserve"> </w:t>
      </w:r>
      <w:r>
        <w:rPr>
          <w:rFonts w:ascii="Cambria" w:hAnsi="Cambria" w:cs="Times New Roman"/>
          <w:color w:val="auto"/>
          <w:szCs w:val="20"/>
        </w:rPr>
        <w:t xml:space="preserve">If yes, in what form? </w:t>
      </w:r>
    </w:p>
    <w:p w14:paraId="518810B5" w14:textId="77777777" w:rsidR="00E724FE" w:rsidRDefault="00E724FE" w:rsidP="00F104A0">
      <w:pPr>
        <w:numPr>
          <w:ilvl w:val="0"/>
          <w:numId w:val="32"/>
        </w:numPr>
        <w:spacing w:beforeLines="1" w:before="2" w:afterLines="1" w:after="2"/>
        <w:jc w:val="both"/>
        <w:rPr>
          <w:rFonts w:ascii="Cambria" w:hAnsi="Cambria" w:cs="Times New Roman"/>
          <w:color w:val="auto"/>
          <w:szCs w:val="20"/>
        </w:rPr>
      </w:pPr>
      <w:r>
        <w:rPr>
          <w:rFonts w:ascii="Cambria" w:hAnsi="Cambria" w:cs="Times New Roman"/>
          <w:color w:val="auto"/>
          <w:szCs w:val="20"/>
        </w:rPr>
        <w:t xml:space="preserve">Does the depositary bank have its own custody branch? </w:t>
      </w:r>
    </w:p>
    <w:p w14:paraId="6BF5C206" w14:textId="44F66DB0" w:rsidR="00E724FE" w:rsidRDefault="00E724FE" w:rsidP="00F104A0">
      <w:pPr>
        <w:numPr>
          <w:ilvl w:val="0"/>
          <w:numId w:val="32"/>
        </w:numPr>
        <w:spacing w:beforeLines="1" w:before="2" w:afterLines="1" w:after="2"/>
        <w:rPr>
          <w:rFonts w:ascii="Cambria" w:hAnsi="Cambria" w:cs="Times New Roman"/>
          <w:color w:val="auto"/>
          <w:szCs w:val="20"/>
        </w:rPr>
      </w:pPr>
      <w:r>
        <w:rPr>
          <w:rFonts w:ascii="Cambria" w:hAnsi="Cambria" w:cs="Times New Roman"/>
          <w:color w:val="auto"/>
          <w:szCs w:val="20"/>
        </w:rPr>
        <w:t xml:space="preserve">How many people work in a local office? </w:t>
      </w:r>
    </w:p>
    <w:p w14:paraId="1CC1F473" w14:textId="77777777" w:rsidR="001B24A0" w:rsidRDefault="001B24A0" w:rsidP="001B24A0">
      <w:pPr>
        <w:spacing w:beforeLines="1" w:before="2" w:afterLines="1" w:after="2"/>
        <w:rPr>
          <w:rFonts w:ascii="Cambria" w:hAnsi="Cambria" w:cs="Times New Roman"/>
          <w:color w:val="auto"/>
          <w:szCs w:val="20"/>
        </w:rPr>
      </w:pPr>
    </w:p>
    <w:p w14:paraId="57CBAB3B" w14:textId="285EDB78" w:rsidR="001B24A0" w:rsidRDefault="001B24A0" w:rsidP="001B24A0">
      <w:pPr>
        <w:spacing w:beforeLines="1" w:before="2" w:afterLines="1" w:after="2"/>
        <w:rPr>
          <w:rFonts w:ascii="Cambria" w:hAnsi="Cambria" w:cs="Times New Roman"/>
          <w:color w:val="auto"/>
          <w:szCs w:val="20"/>
        </w:rPr>
      </w:pPr>
      <w:r>
        <w:rPr>
          <w:rFonts w:ascii="Cambria" w:hAnsi="Cambria" w:cs="Times New Roman"/>
          <w:color w:val="auto"/>
          <w:szCs w:val="20"/>
        </w:rPr>
        <w:t>Based on our market intelligence</w:t>
      </w:r>
      <w:r w:rsidR="006973C9">
        <w:rPr>
          <w:rFonts w:ascii="Cambria" w:hAnsi="Cambria" w:cs="Times New Roman"/>
          <w:color w:val="auto"/>
          <w:szCs w:val="20"/>
        </w:rPr>
        <w:t>,</w:t>
      </w:r>
      <w:r>
        <w:rPr>
          <w:rFonts w:ascii="Cambria" w:hAnsi="Cambria" w:cs="Times New Roman"/>
          <w:color w:val="auto"/>
          <w:szCs w:val="20"/>
        </w:rPr>
        <w:t xml:space="preserve"> we have compiled a table</w:t>
      </w:r>
      <w:r w:rsidR="006973C9">
        <w:rPr>
          <w:rFonts w:ascii="Cambria" w:hAnsi="Cambria" w:cs="Times New Roman"/>
          <w:color w:val="auto"/>
          <w:szCs w:val="20"/>
        </w:rPr>
        <w:t xml:space="preserve"> (below)</w:t>
      </w:r>
      <w:r>
        <w:rPr>
          <w:rFonts w:ascii="Cambria" w:hAnsi="Cambria" w:cs="Times New Roman"/>
          <w:color w:val="auto"/>
          <w:szCs w:val="20"/>
        </w:rPr>
        <w:t xml:space="preserve"> </w:t>
      </w:r>
      <w:r w:rsidR="006973C9">
        <w:rPr>
          <w:rFonts w:ascii="Cambria" w:hAnsi="Cambria" w:cs="Times New Roman"/>
          <w:color w:val="auto"/>
          <w:szCs w:val="20"/>
        </w:rPr>
        <w:t xml:space="preserve">that </w:t>
      </w:r>
      <w:r>
        <w:rPr>
          <w:rFonts w:ascii="Cambria" w:hAnsi="Cambria" w:cs="Times New Roman"/>
          <w:color w:val="auto"/>
          <w:szCs w:val="20"/>
        </w:rPr>
        <w:t>summarizes the reimbursement allocation and annual fees that depositary banks charge DR holders</w:t>
      </w:r>
      <w:r w:rsidR="000C3C94">
        <w:rPr>
          <w:rFonts w:ascii="Cambria" w:hAnsi="Cambria" w:cs="Times New Roman"/>
          <w:color w:val="auto"/>
          <w:szCs w:val="20"/>
        </w:rPr>
        <w:t xml:space="preserve"> in connection with Russian DR issuers</w:t>
      </w:r>
      <w:r>
        <w:rPr>
          <w:rFonts w:ascii="Cambria" w:hAnsi="Cambria" w:cs="Times New Roman"/>
          <w:color w:val="auto"/>
          <w:szCs w:val="20"/>
        </w:rPr>
        <w:t xml:space="preserve">. </w:t>
      </w:r>
      <w:r w:rsidR="006973C9">
        <w:rPr>
          <w:rFonts w:ascii="Cambria" w:hAnsi="Cambria" w:cs="Times New Roman"/>
          <w:color w:val="auto"/>
          <w:szCs w:val="20"/>
        </w:rPr>
        <w:t xml:space="preserve">  </w:t>
      </w:r>
      <w:r>
        <w:rPr>
          <w:rFonts w:ascii="Cambria" w:hAnsi="Cambria" w:cs="Times New Roman"/>
          <w:color w:val="auto"/>
          <w:szCs w:val="20"/>
        </w:rPr>
        <w:t>In addition to the table</w:t>
      </w:r>
      <w:r w:rsidR="006973C9">
        <w:rPr>
          <w:rFonts w:ascii="Cambria" w:hAnsi="Cambria" w:cs="Times New Roman"/>
          <w:color w:val="auto"/>
          <w:szCs w:val="20"/>
        </w:rPr>
        <w:t>,</w:t>
      </w:r>
      <w:r>
        <w:rPr>
          <w:rFonts w:ascii="Cambria" w:hAnsi="Cambria" w:cs="Times New Roman"/>
          <w:color w:val="auto"/>
          <w:szCs w:val="20"/>
        </w:rPr>
        <w:t xml:space="preserve"> we </w:t>
      </w:r>
      <w:r w:rsidR="006973C9">
        <w:rPr>
          <w:rFonts w:ascii="Cambria" w:hAnsi="Cambria" w:cs="Times New Roman"/>
          <w:color w:val="auto"/>
          <w:szCs w:val="20"/>
        </w:rPr>
        <w:t xml:space="preserve">have </w:t>
      </w:r>
      <w:r>
        <w:rPr>
          <w:rFonts w:ascii="Cambria" w:hAnsi="Cambria" w:cs="Times New Roman"/>
          <w:color w:val="auto"/>
          <w:szCs w:val="20"/>
        </w:rPr>
        <w:t xml:space="preserve">constructed a graph to analyze </w:t>
      </w:r>
      <w:r w:rsidR="006973C9">
        <w:rPr>
          <w:rFonts w:ascii="Cambria" w:hAnsi="Cambria" w:cs="Times New Roman"/>
          <w:color w:val="auto"/>
          <w:szCs w:val="20"/>
        </w:rPr>
        <w:t xml:space="preserve">the </w:t>
      </w:r>
      <w:r>
        <w:rPr>
          <w:rFonts w:ascii="Cambria" w:hAnsi="Cambria" w:cs="Times New Roman"/>
          <w:color w:val="auto"/>
          <w:szCs w:val="20"/>
        </w:rPr>
        <w:t>correlation between two variables and locate wh</w:t>
      </w:r>
      <w:r w:rsidR="00C130D4">
        <w:rPr>
          <w:rFonts w:ascii="Cambria" w:hAnsi="Cambria" w:cs="Times New Roman"/>
          <w:color w:val="auto"/>
          <w:szCs w:val="20"/>
        </w:rPr>
        <w:t>e</w:t>
      </w:r>
      <w:r w:rsidR="006973C9">
        <w:rPr>
          <w:rFonts w:ascii="Cambria" w:hAnsi="Cambria" w:cs="Times New Roman"/>
          <w:color w:val="auto"/>
          <w:szCs w:val="20"/>
        </w:rPr>
        <w:t>re</w:t>
      </w:r>
      <w:r>
        <w:rPr>
          <w:rFonts w:ascii="Cambria" w:hAnsi="Cambria" w:cs="Times New Roman"/>
          <w:color w:val="auto"/>
          <w:szCs w:val="20"/>
        </w:rPr>
        <w:t xml:space="preserve"> each company is positioned on the graph. </w:t>
      </w:r>
      <w:r w:rsidR="006973C9">
        <w:rPr>
          <w:rFonts w:ascii="Cambria" w:hAnsi="Cambria" w:cs="Times New Roman"/>
          <w:color w:val="auto"/>
          <w:szCs w:val="20"/>
        </w:rPr>
        <w:t xml:space="preserve"> </w:t>
      </w:r>
      <w:r w:rsidR="00ED6092">
        <w:rPr>
          <w:rFonts w:ascii="Cambria" w:hAnsi="Cambria" w:cs="Times New Roman"/>
          <w:color w:val="auto"/>
          <w:szCs w:val="20"/>
        </w:rPr>
        <w:t xml:space="preserve">The purpose of the graph </w:t>
      </w:r>
      <w:r w:rsidR="006973C9">
        <w:rPr>
          <w:rFonts w:ascii="Cambria" w:hAnsi="Cambria" w:cs="Times New Roman"/>
          <w:color w:val="auto"/>
          <w:szCs w:val="20"/>
        </w:rPr>
        <w:t xml:space="preserve">shown </w:t>
      </w:r>
      <w:r w:rsidR="00ED6092">
        <w:rPr>
          <w:rFonts w:ascii="Cambria" w:hAnsi="Cambria" w:cs="Times New Roman"/>
          <w:color w:val="auto"/>
          <w:szCs w:val="20"/>
        </w:rPr>
        <w:t xml:space="preserve">below is to demonstrate </w:t>
      </w:r>
      <w:r w:rsidR="00C130D4">
        <w:rPr>
          <w:rFonts w:ascii="Cambria" w:hAnsi="Cambria" w:cs="Times New Roman"/>
          <w:color w:val="auto"/>
          <w:szCs w:val="20"/>
        </w:rPr>
        <w:t>the extent of</w:t>
      </w:r>
      <w:r w:rsidR="00ED6092">
        <w:rPr>
          <w:rFonts w:ascii="Cambria" w:hAnsi="Cambria" w:cs="Times New Roman"/>
          <w:color w:val="auto"/>
          <w:szCs w:val="20"/>
        </w:rPr>
        <w:t xml:space="preserve"> </w:t>
      </w:r>
      <w:r w:rsidR="00C130D4">
        <w:rPr>
          <w:rFonts w:ascii="Cambria" w:hAnsi="Cambria" w:cs="Times New Roman"/>
          <w:color w:val="auto"/>
          <w:szCs w:val="20"/>
        </w:rPr>
        <w:t>the</w:t>
      </w:r>
      <w:r w:rsidR="00ED6092">
        <w:rPr>
          <w:rFonts w:ascii="Cambria" w:hAnsi="Cambria" w:cs="Times New Roman"/>
          <w:color w:val="auto"/>
          <w:szCs w:val="20"/>
        </w:rPr>
        <w:t xml:space="preserve"> deviation from the line and </w:t>
      </w:r>
      <w:r w:rsidR="00C130D4">
        <w:rPr>
          <w:rFonts w:ascii="Cambria" w:hAnsi="Cambria" w:cs="Times New Roman"/>
          <w:color w:val="auto"/>
          <w:szCs w:val="20"/>
        </w:rPr>
        <w:t xml:space="preserve">the size of </w:t>
      </w:r>
      <w:r w:rsidR="00ED6092">
        <w:rPr>
          <w:rFonts w:ascii="Cambria" w:hAnsi="Cambria" w:cs="Times New Roman"/>
          <w:color w:val="auto"/>
          <w:szCs w:val="20"/>
        </w:rPr>
        <w:t xml:space="preserve">the correlation between the fees and reimbursement allocation. </w:t>
      </w:r>
    </w:p>
    <w:p w14:paraId="3607CD32" w14:textId="77777777" w:rsidR="00785C18" w:rsidRDefault="00785C18" w:rsidP="00EE6AE3">
      <w:pPr>
        <w:spacing w:beforeLines="1" w:before="2" w:afterLines="1" w:after="2"/>
        <w:rPr>
          <w:rFonts w:ascii="Cambria" w:hAnsi="Cambria" w:cs="Times New Roman"/>
          <w:color w:val="auto"/>
          <w:szCs w:val="20"/>
        </w:rPr>
      </w:pPr>
    </w:p>
    <w:p w14:paraId="51FA0416" w14:textId="77777777" w:rsidR="00EE6AE3" w:rsidRDefault="00EE6AE3" w:rsidP="00EE6AE3">
      <w:pPr>
        <w:spacing w:beforeLines="1" w:before="2" w:afterLines="1" w:after="2"/>
        <w:rPr>
          <w:rFonts w:ascii="Cambria" w:hAnsi="Cambria" w:cs="Times New Roman"/>
          <w:color w:val="auto"/>
          <w:szCs w:val="20"/>
        </w:rPr>
      </w:pPr>
    </w:p>
    <w:p w14:paraId="44AC67D6" w14:textId="77777777" w:rsidR="00EE6AE3" w:rsidRDefault="00EE6AE3" w:rsidP="00EE6AE3">
      <w:pPr>
        <w:spacing w:beforeLines="1" w:before="2" w:afterLines="1" w:after="2"/>
        <w:rPr>
          <w:rFonts w:ascii="Cambria" w:hAnsi="Cambria" w:cs="Times New Roman"/>
          <w:color w:val="auto"/>
          <w:szCs w:val="20"/>
        </w:rPr>
      </w:pPr>
    </w:p>
    <w:p w14:paraId="1B5925E0" w14:textId="1AA45C74" w:rsidR="002946D5" w:rsidRPr="00ED6092" w:rsidRDefault="001B24A0" w:rsidP="00ED6092">
      <w:pPr>
        <w:spacing w:beforeLines="1" w:before="2" w:afterLines="1" w:after="2"/>
        <w:rPr>
          <w:rFonts w:ascii="Cambria" w:hAnsi="Cambria" w:cs="Times New Roman"/>
          <w:color w:val="auto"/>
          <w:szCs w:val="20"/>
        </w:rPr>
      </w:pPr>
      <w:r>
        <w:rPr>
          <w:noProof/>
        </w:rPr>
        <w:lastRenderedPageBreak/>
        <w:drawing>
          <wp:inline distT="0" distB="0" distL="0" distR="0" wp14:anchorId="425759A2" wp14:editId="03F5488D">
            <wp:extent cx="6172200" cy="3449320"/>
            <wp:effectExtent l="0" t="0" r="25400" b="3048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TableGrid"/>
        <w:tblW w:w="11131" w:type="dxa"/>
        <w:tblLayout w:type="fixed"/>
        <w:tblLook w:val="04A0" w:firstRow="1" w:lastRow="0" w:firstColumn="1" w:lastColumn="0" w:noHBand="0" w:noVBand="1"/>
      </w:tblPr>
      <w:tblGrid>
        <w:gridCol w:w="911"/>
        <w:gridCol w:w="2140"/>
        <w:gridCol w:w="2197"/>
        <w:gridCol w:w="2704"/>
        <w:gridCol w:w="3179"/>
      </w:tblGrid>
      <w:tr w:rsidR="00C543CD" w:rsidRPr="00785C18" w14:paraId="4189A119" w14:textId="5F73FB0D" w:rsidTr="00F87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noWrap/>
            <w:hideMark/>
          </w:tcPr>
          <w:p w14:paraId="79DDEE4E" w14:textId="77777777" w:rsidR="00C543CD" w:rsidRPr="00C543CD" w:rsidRDefault="00C543CD" w:rsidP="00785C18">
            <w:pPr>
              <w:rPr>
                <w:rFonts w:ascii="Cambria" w:hAnsi="Cambria"/>
                <w:b/>
                <w:bCs/>
                <w:color w:val="FF0000"/>
                <w:szCs w:val="24"/>
              </w:rPr>
            </w:pPr>
            <w:r w:rsidRPr="00C543CD">
              <w:rPr>
                <w:rFonts w:ascii="Cambria" w:hAnsi="Cambria"/>
                <w:b/>
                <w:bCs/>
                <w:color w:val="FF0000"/>
                <w:szCs w:val="24"/>
              </w:rPr>
              <w:t>№</w:t>
            </w:r>
          </w:p>
        </w:tc>
        <w:tc>
          <w:tcPr>
            <w:tcW w:w="2140" w:type="dxa"/>
            <w:noWrap/>
            <w:hideMark/>
          </w:tcPr>
          <w:p w14:paraId="520C1EBF" w14:textId="77777777" w:rsidR="00C543CD" w:rsidRPr="00C543CD" w:rsidRDefault="00C543CD" w:rsidP="00785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0000"/>
                <w:szCs w:val="24"/>
              </w:rPr>
            </w:pPr>
            <w:r w:rsidRPr="00C543CD">
              <w:rPr>
                <w:rFonts w:ascii="Cambria" w:hAnsi="Cambria"/>
                <w:b/>
                <w:bCs/>
                <w:color w:val="FF0000"/>
                <w:szCs w:val="24"/>
              </w:rPr>
              <w:t>Компания</w:t>
            </w:r>
          </w:p>
        </w:tc>
        <w:tc>
          <w:tcPr>
            <w:tcW w:w="2197" w:type="dxa"/>
            <w:hideMark/>
          </w:tcPr>
          <w:p w14:paraId="36045B55" w14:textId="54FD68B9" w:rsidR="00C543CD" w:rsidRPr="00C543CD" w:rsidRDefault="00C543CD" w:rsidP="00785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0000"/>
                <w:szCs w:val="24"/>
              </w:rPr>
            </w:pPr>
            <w:r w:rsidRPr="00C543CD">
              <w:rPr>
                <w:rFonts w:ascii="Cambria" w:hAnsi="Cambria"/>
                <w:b/>
                <w:bCs/>
                <w:color w:val="FF0000"/>
                <w:szCs w:val="24"/>
              </w:rPr>
              <w:t xml:space="preserve">% возмещения </w:t>
            </w:r>
            <w:r w:rsidRPr="00C543CD">
              <w:rPr>
                <w:rFonts w:ascii="Cambria" w:hAnsi="Cambria"/>
                <w:b/>
                <w:bCs/>
                <w:color w:val="FF0000"/>
                <w:szCs w:val="24"/>
                <w:lang w:val="ru-RU"/>
              </w:rPr>
              <w:t>от</w:t>
            </w:r>
            <w:r w:rsidRPr="00C543CD">
              <w:rPr>
                <w:rFonts w:ascii="Cambria" w:hAnsi="Cambria"/>
                <w:b/>
                <w:bCs/>
                <w:color w:val="FF0000"/>
                <w:szCs w:val="24"/>
              </w:rPr>
              <w:t xml:space="preserve"> выручки банка депозитария </w:t>
            </w:r>
          </w:p>
        </w:tc>
        <w:tc>
          <w:tcPr>
            <w:tcW w:w="2704" w:type="dxa"/>
            <w:hideMark/>
          </w:tcPr>
          <w:p w14:paraId="60308C77" w14:textId="119ED18D" w:rsidR="00C543CD" w:rsidRPr="00C543CD" w:rsidRDefault="00C543CD" w:rsidP="00785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0000"/>
                <w:szCs w:val="24"/>
              </w:rPr>
            </w:pPr>
            <w:r w:rsidRPr="00C543CD">
              <w:rPr>
                <w:rFonts w:ascii="Cambria" w:hAnsi="Cambria"/>
                <w:b/>
                <w:bCs/>
                <w:color w:val="FF0000"/>
                <w:szCs w:val="24"/>
              </w:rPr>
              <w:t>Ежегодная фиксированная Комиссия с инвесторов ($/</w:t>
            </w:r>
            <w:r w:rsidRPr="00C543CD">
              <w:rPr>
                <w:rFonts w:ascii="Cambria" w:hAnsi="Cambria"/>
                <w:b/>
                <w:bCs/>
                <w:color w:val="FF0000"/>
                <w:szCs w:val="24"/>
                <w:lang w:val="ru-RU"/>
              </w:rPr>
              <w:t>ДР</w:t>
            </w:r>
            <w:r w:rsidRPr="00C543CD">
              <w:rPr>
                <w:rFonts w:ascii="Cambria" w:hAnsi="Cambria"/>
                <w:b/>
                <w:bCs/>
                <w:color w:val="FF0000"/>
                <w:szCs w:val="24"/>
              </w:rPr>
              <w:t xml:space="preserve"> в год) </w:t>
            </w:r>
          </w:p>
        </w:tc>
        <w:tc>
          <w:tcPr>
            <w:tcW w:w="3179" w:type="dxa"/>
          </w:tcPr>
          <w:p w14:paraId="7F731230" w14:textId="43C87C87" w:rsidR="00C543CD" w:rsidRPr="00F8769F" w:rsidRDefault="00C543CD" w:rsidP="00F876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FF0000"/>
                <w:szCs w:val="24"/>
                <w:lang w:val="ru-RU"/>
              </w:rPr>
            </w:pPr>
            <w:r w:rsidRPr="00C543CD">
              <w:rPr>
                <w:rFonts w:ascii="Cambria" w:hAnsi="Cambria"/>
                <w:b/>
                <w:bCs/>
                <w:color w:val="FF0000"/>
                <w:szCs w:val="24"/>
              </w:rPr>
              <w:t xml:space="preserve">Объем Программы ДР </w:t>
            </w:r>
            <w:r w:rsidR="00F8769F">
              <w:rPr>
                <w:rFonts w:ascii="Cambria" w:hAnsi="Cambria"/>
                <w:b/>
                <w:bCs/>
                <w:color w:val="FF0000"/>
                <w:szCs w:val="24"/>
              </w:rPr>
              <w:t xml:space="preserve">(колличество в </w:t>
            </w:r>
            <w:r w:rsidR="00F8769F">
              <w:rPr>
                <w:rFonts w:ascii="Cambria" w:hAnsi="Cambria"/>
                <w:b/>
                <w:bCs/>
                <w:color w:val="FF0000"/>
                <w:szCs w:val="24"/>
                <w:lang w:val="ru-RU"/>
              </w:rPr>
              <w:t>миллионы ДР)</w:t>
            </w:r>
          </w:p>
        </w:tc>
      </w:tr>
      <w:tr w:rsidR="00C543CD" w:rsidRPr="00785C18" w14:paraId="497FC329" w14:textId="7C8DADED" w:rsidTr="00F8769F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noWrap/>
            <w:hideMark/>
          </w:tcPr>
          <w:p w14:paraId="57F61D30" w14:textId="77777777" w:rsidR="00C543CD" w:rsidRPr="00C543CD" w:rsidRDefault="00C543CD" w:rsidP="00785C18">
            <w:pPr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17CAA3DD" w14:textId="77777777" w:rsidR="00C543CD" w:rsidRPr="00C543CD" w:rsidRDefault="00C54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 xml:space="preserve">Газпром </w:t>
            </w:r>
          </w:p>
        </w:tc>
        <w:tc>
          <w:tcPr>
            <w:tcW w:w="2197" w:type="dxa"/>
            <w:noWrap/>
            <w:hideMark/>
          </w:tcPr>
          <w:p w14:paraId="53FD1E90" w14:textId="77777777" w:rsidR="00C543CD" w:rsidRPr="00C543CD" w:rsidRDefault="00C543CD" w:rsidP="0078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35%</w:t>
            </w:r>
          </w:p>
        </w:tc>
        <w:tc>
          <w:tcPr>
            <w:tcW w:w="2704" w:type="dxa"/>
            <w:noWrap/>
            <w:hideMark/>
          </w:tcPr>
          <w:p w14:paraId="308A6CE1" w14:textId="77777777" w:rsidR="00C543CD" w:rsidRPr="00C543CD" w:rsidRDefault="00C543CD" w:rsidP="0078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$0,02</w:t>
            </w:r>
          </w:p>
        </w:tc>
        <w:tc>
          <w:tcPr>
            <w:tcW w:w="3179" w:type="dxa"/>
          </w:tcPr>
          <w:p w14:paraId="62564BEA" w14:textId="3763954D" w:rsidR="00C543CD" w:rsidRPr="00C543CD" w:rsidRDefault="00F8769F" w:rsidP="0078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>2200</w:t>
            </w:r>
          </w:p>
        </w:tc>
      </w:tr>
      <w:tr w:rsidR="00C543CD" w:rsidRPr="00785C18" w14:paraId="42B7A306" w14:textId="23AB42BA" w:rsidTr="00F876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noWrap/>
            <w:hideMark/>
          </w:tcPr>
          <w:p w14:paraId="456EEA6A" w14:textId="77777777" w:rsidR="00C543CD" w:rsidRPr="00C543CD" w:rsidRDefault="00C543CD" w:rsidP="00785C18">
            <w:pPr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4B23BB46" w14:textId="77777777" w:rsidR="00C543CD" w:rsidRPr="00C543CD" w:rsidRDefault="00C54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 xml:space="preserve">Сбербанк </w:t>
            </w:r>
          </w:p>
        </w:tc>
        <w:tc>
          <w:tcPr>
            <w:tcW w:w="2197" w:type="dxa"/>
            <w:noWrap/>
            <w:hideMark/>
          </w:tcPr>
          <w:p w14:paraId="34D4534F" w14:textId="77777777" w:rsidR="00C543CD" w:rsidRPr="00C543CD" w:rsidRDefault="00C543CD" w:rsidP="00785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75%</w:t>
            </w:r>
          </w:p>
        </w:tc>
        <w:tc>
          <w:tcPr>
            <w:tcW w:w="2704" w:type="dxa"/>
            <w:noWrap/>
            <w:hideMark/>
          </w:tcPr>
          <w:p w14:paraId="508CC03C" w14:textId="77777777" w:rsidR="00C543CD" w:rsidRPr="00C543CD" w:rsidRDefault="00C543CD" w:rsidP="00785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$0,04</w:t>
            </w:r>
          </w:p>
        </w:tc>
        <w:tc>
          <w:tcPr>
            <w:tcW w:w="3179" w:type="dxa"/>
          </w:tcPr>
          <w:p w14:paraId="7C2B9090" w14:textId="6F5264EE" w:rsidR="00C543CD" w:rsidRPr="00C543CD" w:rsidRDefault="00F8769F" w:rsidP="00785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>1200</w:t>
            </w:r>
          </w:p>
        </w:tc>
      </w:tr>
      <w:tr w:rsidR="00C543CD" w:rsidRPr="00785C18" w14:paraId="6530C4AF" w14:textId="2E55F0F4" w:rsidTr="00F8769F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noWrap/>
            <w:hideMark/>
          </w:tcPr>
          <w:p w14:paraId="19F6063B" w14:textId="77777777" w:rsidR="00C543CD" w:rsidRPr="00C543CD" w:rsidRDefault="00C543CD" w:rsidP="00785C18">
            <w:pPr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18A770B4" w14:textId="77777777" w:rsidR="00C543CD" w:rsidRPr="00C543CD" w:rsidRDefault="00C54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ВТБ</w:t>
            </w:r>
          </w:p>
          <w:p w14:paraId="6A9B67A7" w14:textId="77777777" w:rsidR="00C543CD" w:rsidRPr="00C543CD" w:rsidRDefault="00C54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</w:p>
          <w:p w14:paraId="0E59D23D" w14:textId="77777777" w:rsidR="00C543CD" w:rsidRPr="00C543CD" w:rsidRDefault="00C54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</w:p>
        </w:tc>
        <w:tc>
          <w:tcPr>
            <w:tcW w:w="2197" w:type="dxa"/>
            <w:noWrap/>
            <w:hideMark/>
          </w:tcPr>
          <w:p w14:paraId="26E3289B" w14:textId="77777777" w:rsidR="00C543CD" w:rsidRPr="00C543CD" w:rsidRDefault="00C543CD" w:rsidP="0078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75%</w:t>
            </w:r>
          </w:p>
        </w:tc>
        <w:tc>
          <w:tcPr>
            <w:tcW w:w="2704" w:type="dxa"/>
            <w:noWrap/>
            <w:hideMark/>
          </w:tcPr>
          <w:p w14:paraId="73998FDB" w14:textId="77777777" w:rsidR="00C543CD" w:rsidRPr="00C543CD" w:rsidRDefault="00C543CD" w:rsidP="0078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$0,03</w:t>
            </w:r>
          </w:p>
        </w:tc>
        <w:tc>
          <w:tcPr>
            <w:tcW w:w="3179" w:type="dxa"/>
          </w:tcPr>
          <w:p w14:paraId="3209983C" w14:textId="60C5774A" w:rsidR="00C543CD" w:rsidRPr="00C543CD" w:rsidRDefault="00F8769F" w:rsidP="0078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>900</w:t>
            </w:r>
          </w:p>
        </w:tc>
      </w:tr>
      <w:tr w:rsidR="00C543CD" w:rsidRPr="00785C18" w14:paraId="60699D3C" w14:textId="3521F63C" w:rsidTr="00F876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noWrap/>
            <w:hideMark/>
          </w:tcPr>
          <w:p w14:paraId="1AF65ECB" w14:textId="77777777" w:rsidR="00C543CD" w:rsidRPr="00C543CD" w:rsidRDefault="00C543CD" w:rsidP="00785C18">
            <w:pPr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789F56D4" w14:textId="77777777" w:rsidR="00C543CD" w:rsidRPr="00C543CD" w:rsidRDefault="00C54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Лукойл</w:t>
            </w:r>
          </w:p>
        </w:tc>
        <w:tc>
          <w:tcPr>
            <w:tcW w:w="2197" w:type="dxa"/>
            <w:noWrap/>
            <w:hideMark/>
          </w:tcPr>
          <w:p w14:paraId="13D2EEFE" w14:textId="77777777" w:rsidR="00C543CD" w:rsidRPr="00C543CD" w:rsidRDefault="00C543CD" w:rsidP="00785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45%</w:t>
            </w:r>
          </w:p>
        </w:tc>
        <w:tc>
          <w:tcPr>
            <w:tcW w:w="2704" w:type="dxa"/>
            <w:noWrap/>
            <w:hideMark/>
          </w:tcPr>
          <w:p w14:paraId="1E273003" w14:textId="77777777" w:rsidR="00C543CD" w:rsidRPr="00C543CD" w:rsidRDefault="00C543CD" w:rsidP="00785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$0,02</w:t>
            </w:r>
          </w:p>
        </w:tc>
        <w:tc>
          <w:tcPr>
            <w:tcW w:w="3179" w:type="dxa"/>
          </w:tcPr>
          <w:p w14:paraId="72F03DBA" w14:textId="7B2D17F8" w:rsidR="00C543CD" w:rsidRPr="00C543CD" w:rsidRDefault="00F8769F" w:rsidP="00785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>720</w:t>
            </w:r>
          </w:p>
        </w:tc>
      </w:tr>
      <w:tr w:rsidR="00C543CD" w:rsidRPr="00785C18" w14:paraId="7CCCF7C9" w14:textId="057CF1EC" w:rsidTr="00F8769F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noWrap/>
            <w:hideMark/>
          </w:tcPr>
          <w:p w14:paraId="4EC1DED6" w14:textId="77777777" w:rsidR="00C543CD" w:rsidRPr="00C543CD" w:rsidRDefault="00C543CD" w:rsidP="00785C18">
            <w:pPr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5</w:t>
            </w:r>
          </w:p>
        </w:tc>
        <w:tc>
          <w:tcPr>
            <w:tcW w:w="2140" w:type="dxa"/>
            <w:noWrap/>
            <w:hideMark/>
          </w:tcPr>
          <w:p w14:paraId="7E8EA1FD" w14:textId="77777777" w:rsidR="00C543CD" w:rsidRPr="00C543CD" w:rsidRDefault="00C54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Сургутнефтегаз</w:t>
            </w:r>
          </w:p>
        </w:tc>
        <w:tc>
          <w:tcPr>
            <w:tcW w:w="2197" w:type="dxa"/>
            <w:noWrap/>
            <w:hideMark/>
          </w:tcPr>
          <w:p w14:paraId="40E9567B" w14:textId="77777777" w:rsidR="00C543CD" w:rsidRPr="00C543CD" w:rsidRDefault="00C543CD" w:rsidP="0078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60%</w:t>
            </w:r>
          </w:p>
        </w:tc>
        <w:tc>
          <w:tcPr>
            <w:tcW w:w="2704" w:type="dxa"/>
            <w:noWrap/>
            <w:hideMark/>
          </w:tcPr>
          <w:p w14:paraId="52A771FE" w14:textId="77777777" w:rsidR="00C543CD" w:rsidRPr="00C543CD" w:rsidRDefault="00C543CD" w:rsidP="0078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$0,035</w:t>
            </w:r>
          </w:p>
        </w:tc>
        <w:tc>
          <w:tcPr>
            <w:tcW w:w="3179" w:type="dxa"/>
          </w:tcPr>
          <w:p w14:paraId="2559AD33" w14:textId="094664BC" w:rsidR="00C543CD" w:rsidRPr="00C543CD" w:rsidRDefault="00F8769F" w:rsidP="0078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>400</w:t>
            </w:r>
          </w:p>
        </w:tc>
      </w:tr>
      <w:tr w:rsidR="00C543CD" w:rsidRPr="00785C18" w14:paraId="4E3670F4" w14:textId="7C56356C" w:rsidTr="00F876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noWrap/>
            <w:hideMark/>
          </w:tcPr>
          <w:p w14:paraId="5E4AC40B" w14:textId="77777777" w:rsidR="00C543CD" w:rsidRPr="00C543CD" w:rsidRDefault="00C543CD" w:rsidP="00785C18">
            <w:pPr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6</w:t>
            </w:r>
          </w:p>
        </w:tc>
        <w:tc>
          <w:tcPr>
            <w:tcW w:w="2140" w:type="dxa"/>
            <w:noWrap/>
            <w:hideMark/>
          </w:tcPr>
          <w:p w14:paraId="754FB4BB" w14:textId="40CA0006" w:rsidR="00C543CD" w:rsidRPr="00C543CD" w:rsidRDefault="00C54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Мегафон*</w:t>
            </w:r>
          </w:p>
        </w:tc>
        <w:tc>
          <w:tcPr>
            <w:tcW w:w="2197" w:type="dxa"/>
            <w:noWrap/>
            <w:hideMark/>
          </w:tcPr>
          <w:p w14:paraId="0DD568DE" w14:textId="77777777" w:rsidR="00C543CD" w:rsidRPr="00C543CD" w:rsidRDefault="00C543CD" w:rsidP="00785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90%</w:t>
            </w:r>
          </w:p>
        </w:tc>
        <w:tc>
          <w:tcPr>
            <w:tcW w:w="2704" w:type="dxa"/>
            <w:noWrap/>
            <w:hideMark/>
          </w:tcPr>
          <w:p w14:paraId="4F24B4BC" w14:textId="77777777" w:rsidR="00C543CD" w:rsidRPr="00C543CD" w:rsidRDefault="00C543CD" w:rsidP="00785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$0,03</w:t>
            </w:r>
          </w:p>
        </w:tc>
        <w:tc>
          <w:tcPr>
            <w:tcW w:w="3179" w:type="dxa"/>
          </w:tcPr>
          <w:p w14:paraId="124C5D68" w14:textId="2897637B" w:rsidR="00C543CD" w:rsidRPr="00C543CD" w:rsidRDefault="00F8769F" w:rsidP="00785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>120</w:t>
            </w:r>
          </w:p>
        </w:tc>
      </w:tr>
      <w:tr w:rsidR="00C543CD" w:rsidRPr="00785C18" w14:paraId="7ED493C3" w14:textId="16A82B49" w:rsidTr="00F8769F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noWrap/>
            <w:hideMark/>
          </w:tcPr>
          <w:p w14:paraId="1998269F" w14:textId="77777777" w:rsidR="00C543CD" w:rsidRPr="00C543CD" w:rsidRDefault="00C543CD" w:rsidP="00785C18">
            <w:pPr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lastRenderedPageBreak/>
              <w:t>7</w:t>
            </w:r>
          </w:p>
        </w:tc>
        <w:tc>
          <w:tcPr>
            <w:tcW w:w="2140" w:type="dxa"/>
            <w:noWrap/>
            <w:hideMark/>
          </w:tcPr>
          <w:p w14:paraId="7D0E5D67" w14:textId="77777777" w:rsidR="00C543CD" w:rsidRPr="00C543CD" w:rsidRDefault="00C54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Русгидро</w:t>
            </w:r>
          </w:p>
        </w:tc>
        <w:tc>
          <w:tcPr>
            <w:tcW w:w="2197" w:type="dxa"/>
            <w:noWrap/>
            <w:hideMark/>
          </w:tcPr>
          <w:p w14:paraId="2B2228BD" w14:textId="77777777" w:rsidR="00C543CD" w:rsidRPr="00C543CD" w:rsidRDefault="00C543CD" w:rsidP="0078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60%</w:t>
            </w:r>
          </w:p>
        </w:tc>
        <w:tc>
          <w:tcPr>
            <w:tcW w:w="2704" w:type="dxa"/>
            <w:noWrap/>
            <w:hideMark/>
          </w:tcPr>
          <w:p w14:paraId="588198ED" w14:textId="77777777" w:rsidR="00C543CD" w:rsidRPr="00C543CD" w:rsidRDefault="00C543CD" w:rsidP="0078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$0,02</w:t>
            </w:r>
          </w:p>
        </w:tc>
        <w:tc>
          <w:tcPr>
            <w:tcW w:w="3179" w:type="dxa"/>
          </w:tcPr>
          <w:p w14:paraId="4C915474" w14:textId="3289FBE0" w:rsidR="00C543CD" w:rsidRPr="00C543CD" w:rsidRDefault="00F8769F" w:rsidP="0078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>340</w:t>
            </w:r>
          </w:p>
        </w:tc>
      </w:tr>
      <w:tr w:rsidR="00C543CD" w:rsidRPr="00785C18" w14:paraId="0F1DC01D" w14:textId="7E61C42C" w:rsidTr="00F876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noWrap/>
            <w:hideMark/>
          </w:tcPr>
          <w:p w14:paraId="3C358D9C" w14:textId="77777777" w:rsidR="00C543CD" w:rsidRPr="00C543CD" w:rsidRDefault="00C543CD" w:rsidP="00785C18">
            <w:pPr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8</w:t>
            </w:r>
          </w:p>
        </w:tc>
        <w:tc>
          <w:tcPr>
            <w:tcW w:w="2140" w:type="dxa"/>
            <w:noWrap/>
            <w:hideMark/>
          </w:tcPr>
          <w:p w14:paraId="6D86778E" w14:textId="77777777" w:rsidR="00C543CD" w:rsidRPr="00C543CD" w:rsidRDefault="00C54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 xml:space="preserve">Уралкалий </w:t>
            </w:r>
          </w:p>
        </w:tc>
        <w:tc>
          <w:tcPr>
            <w:tcW w:w="2197" w:type="dxa"/>
            <w:noWrap/>
            <w:hideMark/>
          </w:tcPr>
          <w:p w14:paraId="5AA57347" w14:textId="77777777" w:rsidR="00C543CD" w:rsidRPr="00C543CD" w:rsidRDefault="00C543CD" w:rsidP="00785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60%</w:t>
            </w:r>
          </w:p>
        </w:tc>
        <w:tc>
          <w:tcPr>
            <w:tcW w:w="2704" w:type="dxa"/>
            <w:noWrap/>
            <w:hideMark/>
          </w:tcPr>
          <w:p w14:paraId="18444BD4" w14:textId="77777777" w:rsidR="00C543CD" w:rsidRPr="00C543CD" w:rsidRDefault="00C543CD" w:rsidP="00785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$0,03</w:t>
            </w:r>
          </w:p>
        </w:tc>
        <w:tc>
          <w:tcPr>
            <w:tcW w:w="3179" w:type="dxa"/>
          </w:tcPr>
          <w:p w14:paraId="07AFCA9E" w14:textId="408851AC" w:rsidR="00C543CD" w:rsidRPr="00C543CD" w:rsidRDefault="00F8769F" w:rsidP="00785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>98</w:t>
            </w:r>
          </w:p>
        </w:tc>
      </w:tr>
      <w:tr w:rsidR="00C543CD" w:rsidRPr="00785C18" w14:paraId="6A336B0B" w14:textId="7DFCC1F9" w:rsidTr="00F8769F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noWrap/>
            <w:hideMark/>
          </w:tcPr>
          <w:p w14:paraId="035FBF94" w14:textId="77777777" w:rsidR="00C543CD" w:rsidRPr="00C543CD" w:rsidRDefault="00C543CD" w:rsidP="00785C18">
            <w:pPr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9</w:t>
            </w:r>
          </w:p>
        </w:tc>
        <w:tc>
          <w:tcPr>
            <w:tcW w:w="2140" w:type="dxa"/>
            <w:noWrap/>
            <w:hideMark/>
          </w:tcPr>
          <w:p w14:paraId="0B45363C" w14:textId="77777777" w:rsidR="00C543CD" w:rsidRPr="00C543CD" w:rsidRDefault="00C54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 xml:space="preserve">Татнефть </w:t>
            </w:r>
          </w:p>
        </w:tc>
        <w:tc>
          <w:tcPr>
            <w:tcW w:w="2197" w:type="dxa"/>
            <w:noWrap/>
            <w:hideMark/>
          </w:tcPr>
          <w:p w14:paraId="793E4860" w14:textId="77777777" w:rsidR="00C543CD" w:rsidRPr="00C543CD" w:rsidRDefault="00C543CD" w:rsidP="0078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50%</w:t>
            </w:r>
          </w:p>
        </w:tc>
        <w:tc>
          <w:tcPr>
            <w:tcW w:w="2704" w:type="dxa"/>
            <w:noWrap/>
            <w:hideMark/>
          </w:tcPr>
          <w:p w14:paraId="656B8DFF" w14:textId="77777777" w:rsidR="00C543CD" w:rsidRPr="00C543CD" w:rsidRDefault="00C543CD" w:rsidP="0078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$0,04</w:t>
            </w:r>
          </w:p>
        </w:tc>
        <w:tc>
          <w:tcPr>
            <w:tcW w:w="3179" w:type="dxa"/>
          </w:tcPr>
          <w:p w14:paraId="64AA5E99" w14:textId="671F8A09" w:rsidR="00C543CD" w:rsidRPr="00C543CD" w:rsidRDefault="00F8769F" w:rsidP="0078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>108</w:t>
            </w:r>
          </w:p>
        </w:tc>
      </w:tr>
      <w:tr w:rsidR="00C543CD" w:rsidRPr="00785C18" w14:paraId="76ADA908" w14:textId="76FBF835" w:rsidTr="00F876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noWrap/>
            <w:hideMark/>
          </w:tcPr>
          <w:p w14:paraId="519E650E" w14:textId="77777777" w:rsidR="00C543CD" w:rsidRPr="00C543CD" w:rsidRDefault="00C543CD" w:rsidP="00785C18">
            <w:pPr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10</w:t>
            </w:r>
          </w:p>
        </w:tc>
        <w:tc>
          <w:tcPr>
            <w:tcW w:w="2140" w:type="dxa"/>
            <w:noWrap/>
            <w:hideMark/>
          </w:tcPr>
          <w:p w14:paraId="44979EAE" w14:textId="206FC052" w:rsidR="00C543CD" w:rsidRPr="00C543CD" w:rsidRDefault="00C54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Киви*</w:t>
            </w:r>
          </w:p>
        </w:tc>
        <w:tc>
          <w:tcPr>
            <w:tcW w:w="2197" w:type="dxa"/>
            <w:noWrap/>
            <w:hideMark/>
          </w:tcPr>
          <w:p w14:paraId="07AF55D3" w14:textId="77777777" w:rsidR="00C543CD" w:rsidRPr="00C543CD" w:rsidRDefault="00C543CD" w:rsidP="00785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90%</w:t>
            </w:r>
          </w:p>
        </w:tc>
        <w:tc>
          <w:tcPr>
            <w:tcW w:w="2704" w:type="dxa"/>
            <w:noWrap/>
            <w:hideMark/>
          </w:tcPr>
          <w:p w14:paraId="6C7C469B" w14:textId="77777777" w:rsidR="00C543CD" w:rsidRPr="00C543CD" w:rsidRDefault="00C543CD" w:rsidP="00785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$0,04</w:t>
            </w:r>
          </w:p>
        </w:tc>
        <w:tc>
          <w:tcPr>
            <w:tcW w:w="3179" w:type="dxa"/>
          </w:tcPr>
          <w:p w14:paraId="3B6E0749" w14:textId="18AFC564" w:rsidR="00C543CD" w:rsidRPr="00C543CD" w:rsidRDefault="00F8769F" w:rsidP="00785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>60</w:t>
            </w:r>
          </w:p>
        </w:tc>
      </w:tr>
      <w:tr w:rsidR="00C543CD" w:rsidRPr="00785C18" w14:paraId="098B6776" w14:textId="071A4314" w:rsidTr="00F8769F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noWrap/>
            <w:hideMark/>
          </w:tcPr>
          <w:p w14:paraId="7F3A9A81" w14:textId="77777777" w:rsidR="00C543CD" w:rsidRPr="00C543CD" w:rsidRDefault="00C543CD" w:rsidP="00785C18">
            <w:pPr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11</w:t>
            </w:r>
          </w:p>
        </w:tc>
        <w:tc>
          <w:tcPr>
            <w:tcW w:w="2140" w:type="dxa"/>
            <w:noWrap/>
            <w:hideMark/>
          </w:tcPr>
          <w:p w14:paraId="064637C9" w14:textId="7A31D0F8" w:rsidR="00C543CD" w:rsidRPr="00C543CD" w:rsidRDefault="00C54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ММК*</w:t>
            </w:r>
          </w:p>
        </w:tc>
        <w:tc>
          <w:tcPr>
            <w:tcW w:w="2197" w:type="dxa"/>
            <w:noWrap/>
            <w:hideMark/>
          </w:tcPr>
          <w:p w14:paraId="4ED6C34E" w14:textId="77777777" w:rsidR="00C543CD" w:rsidRPr="00C543CD" w:rsidRDefault="00C543CD" w:rsidP="0078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85%</w:t>
            </w:r>
          </w:p>
        </w:tc>
        <w:tc>
          <w:tcPr>
            <w:tcW w:w="2704" w:type="dxa"/>
            <w:noWrap/>
            <w:hideMark/>
          </w:tcPr>
          <w:p w14:paraId="200F6466" w14:textId="77777777" w:rsidR="00C543CD" w:rsidRPr="00C543CD" w:rsidRDefault="00C543CD" w:rsidP="0078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$0,04</w:t>
            </w:r>
          </w:p>
        </w:tc>
        <w:tc>
          <w:tcPr>
            <w:tcW w:w="3179" w:type="dxa"/>
          </w:tcPr>
          <w:p w14:paraId="158C1BA7" w14:textId="64F5548E" w:rsidR="00C543CD" w:rsidRPr="00C543CD" w:rsidRDefault="00F8769F" w:rsidP="0078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>65</w:t>
            </w:r>
          </w:p>
        </w:tc>
      </w:tr>
      <w:tr w:rsidR="00C543CD" w:rsidRPr="00785C18" w14:paraId="51255C48" w14:textId="3B0D90C9" w:rsidTr="00F876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noWrap/>
            <w:hideMark/>
          </w:tcPr>
          <w:p w14:paraId="440CDB81" w14:textId="77777777" w:rsidR="00C543CD" w:rsidRPr="00C543CD" w:rsidRDefault="00C543CD" w:rsidP="00785C18">
            <w:pPr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12</w:t>
            </w:r>
          </w:p>
        </w:tc>
        <w:tc>
          <w:tcPr>
            <w:tcW w:w="2140" w:type="dxa"/>
            <w:noWrap/>
            <w:hideMark/>
          </w:tcPr>
          <w:p w14:paraId="3C4DC233" w14:textId="642AA95C" w:rsidR="00C543CD" w:rsidRPr="00C543CD" w:rsidRDefault="00C54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 xml:space="preserve">Черкизово* </w:t>
            </w:r>
          </w:p>
        </w:tc>
        <w:tc>
          <w:tcPr>
            <w:tcW w:w="2197" w:type="dxa"/>
            <w:noWrap/>
            <w:hideMark/>
          </w:tcPr>
          <w:p w14:paraId="0E1FEC4E" w14:textId="77777777" w:rsidR="00C543CD" w:rsidRPr="00C543CD" w:rsidRDefault="00C543CD" w:rsidP="00785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95%</w:t>
            </w:r>
          </w:p>
        </w:tc>
        <w:tc>
          <w:tcPr>
            <w:tcW w:w="2704" w:type="dxa"/>
            <w:noWrap/>
            <w:hideMark/>
          </w:tcPr>
          <w:p w14:paraId="79B934A3" w14:textId="77777777" w:rsidR="00C543CD" w:rsidRPr="00C543CD" w:rsidRDefault="00C543CD" w:rsidP="00785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$0,03</w:t>
            </w:r>
          </w:p>
        </w:tc>
        <w:tc>
          <w:tcPr>
            <w:tcW w:w="3179" w:type="dxa"/>
          </w:tcPr>
          <w:p w14:paraId="127854ED" w14:textId="33675C56" w:rsidR="00C543CD" w:rsidRPr="00C543CD" w:rsidRDefault="00F8769F" w:rsidP="00785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>55</w:t>
            </w:r>
          </w:p>
        </w:tc>
      </w:tr>
      <w:tr w:rsidR="00C543CD" w:rsidRPr="00785C18" w14:paraId="6858CE7F" w14:textId="2D5EBCC6" w:rsidTr="00F8769F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noWrap/>
            <w:hideMark/>
          </w:tcPr>
          <w:p w14:paraId="215214CB" w14:textId="77777777" w:rsidR="00C543CD" w:rsidRPr="00C543CD" w:rsidRDefault="00C543CD" w:rsidP="00785C18">
            <w:pPr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13</w:t>
            </w:r>
          </w:p>
        </w:tc>
        <w:tc>
          <w:tcPr>
            <w:tcW w:w="2140" w:type="dxa"/>
            <w:noWrap/>
            <w:hideMark/>
          </w:tcPr>
          <w:p w14:paraId="64F47308" w14:textId="77777777" w:rsidR="00C543CD" w:rsidRPr="00C543CD" w:rsidRDefault="00C54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ТМК</w:t>
            </w:r>
          </w:p>
        </w:tc>
        <w:tc>
          <w:tcPr>
            <w:tcW w:w="2197" w:type="dxa"/>
            <w:noWrap/>
            <w:hideMark/>
          </w:tcPr>
          <w:p w14:paraId="10EDD818" w14:textId="77777777" w:rsidR="00C543CD" w:rsidRPr="00C543CD" w:rsidRDefault="00C543CD" w:rsidP="0078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85%</w:t>
            </w:r>
          </w:p>
        </w:tc>
        <w:tc>
          <w:tcPr>
            <w:tcW w:w="2704" w:type="dxa"/>
            <w:noWrap/>
            <w:hideMark/>
          </w:tcPr>
          <w:p w14:paraId="0F87D090" w14:textId="77777777" w:rsidR="00C543CD" w:rsidRPr="00C543CD" w:rsidRDefault="00C543CD" w:rsidP="0078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43CD">
              <w:rPr>
                <w:rFonts w:asciiTheme="majorHAnsi" w:hAnsiTheme="majorHAnsi"/>
                <w:color w:val="auto"/>
                <w:sz w:val="22"/>
              </w:rPr>
              <w:t>$0,03</w:t>
            </w:r>
          </w:p>
        </w:tc>
        <w:tc>
          <w:tcPr>
            <w:tcW w:w="3179" w:type="dxa"/>
          </w:tcPr>
          <w:p w14:paraId="267CC602" w14:textId="101E4F42" w:rsidR="00C543CD" w:rsidRPr="00C543CD" w:rsidRDefault="00F8769F" w:rsidP="0078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>80</w:t>
            </w:r>
          </w:p>
        </w:tc>
      </w:tr>
      <w:tr w:rsidR="00C543CD" w:rsidRPr="00785C18" w14:paraId="19D7AA9E" w14:textId="1BC4F88C" w:rsidTr="00F876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noWrap/>
            <w:hideMark/>
          </w:tcPr>
          <w:p w14:paraId="31F6C218" w14:textId="77777777" w:rsidR="00C543CD" w:rsidRPr="00785C18" w:rsidRDefault="00C543CD" w:rsidP="00785C18">
            <w:pPr>
              <w:rPr>
                <w:rFonts w:asciiTheme="majorHAnsi" w:hAnsiTheme="majorHAnsi"/>
                <w:color w:val="auto"/>
                <w:sz w:val="22"/>
              </w:rPr>
            </w:pPr>
            <w:r w:rsidRPr="00785C18">
              <w:rPr>
                <w:rFonts w:asciiTheme="majorHAnsi" w:hAnsiTheme="majorHAnsi"/>
                <w:color w:val="auto"/>
                <w:sz w:val="22"/>
              </w:rPr>
              <w:t>14</w:t>
            </w:r>
          </w:p>
        </w:tc>
        <w:tc>
          <w:tcPr>
            <w:tcW w:w="2140" w:type="dxa"/>
            <w:noWrap/>
            <w:hideMark/>
          </w:tcPr>
          <w:p w14:paraId="6280D208" w14:textId="77777777" w:rsidR="00C543CD" w:rsidRPr="00785C18" w:rsidRDefault="00C54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85C18">
              <w:rPr>
                <w:rFonts w:asciiTheme="majorHAnsi" w:hAnsiTheme="majorHAnsi"/>
                <w:color w:val="auto"/>
                <w:sz w:val="22"/>
              </w:rPr>
              <w:t>Интер Рао</w:t>
            </w:r>
          </w:p>
        </w:tc>
        <w:tc>
          <w:tcPr>
            <w:tcW w:w="2197" w:type="dxa"/>
            <w:noWrap/>
            <w:hideMark/>
          </w:tcPr>
          <w:p w14:paraId="03066968" w14:textId="77777777" w:rsidR="00C543CD" w:rsidRPr="00785C18" w:rsidRDefault="00C543CD" w:rsidP="00785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85C18">
              <w:rPr>
                <w:rFonts w:asciiTheme="majorHAnsi" w:hAnsiTheme="majorHAnsi"/>
                <w:color w:val="auto"/>
                <w:sz w:val="22"/>
              </w:rPr>
              <w:t>75%</w:t>
            </w:r>
          </w:p>
        </w:tc>
        <w:tc>
          <w:tcPr>
            <w:tcW w:w="2704" w:type="dxa"/>
            <w:noWrap/>
            <w:hideMark/>
          </w:tcPr>
          <w:p w14:paraId="28066EDC" w14:textId="77777777" w:rsidR="00C543CD" w:rsidRPr="00785C18" w:rsidRDefault="00C543CD" w:rsidP="00785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85C18">
              <w:rPr>
                <w:rFonts w:asciiTheme="majorHAnsi" w:hAnsiTheme="majorHAnsi"/>
                <w:color w:val="auto"/>
                <w:sz w:val="22"/>
              </w:rPr>
              <w:t>$0,02</w:t>
            </w:r>
          </w:p>
        </w:tc>
        <w:tc>
          <w:tcPr>
            <w:tcW w:w="3179" w:type="dxa"/>
          </w:tcPr>
          <w:p w14:paraId="6E7FC0B7" w14:textId="133FD49C" w:rsidR="00C543CD" w:rsidRPr="00785C18" w:rsidRDefault="00F8769F" w:rsidP="00785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>TBD</w:t>
            </w:r>
          </w:p>
        </w:tc>
      </w:tr>
      <w:tr w:rsidR="00C543CD" w:rsidRPr="00785C18" w14:paraId="7D4E2C80" w14:textId="36110C9D" w:rsidTr="00F8769F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noWrap/>
            <w:hideMark/>
          </w:tcPr>
          <w:p w14:paraId="01B93ED4" w14:textId="77777777" w:rsidR="00C543CD" w:rsidRPr="00785C18" w:rsidRDefault="00C543CD" w:rsidP="00785C18">
            <w:pPr>
              <w:rPr>
                <w:rFonts w:asciiTheme="majorHAnsi" w:hAnsiTheme="majorHAnsi"/>
                <w:color w:val="auto"/>
                <w:sz w:val="22"/>
              </w:rPr>
            </w:pPr>
            <w:r w:rsidRPr="00785C18">
              <w:rPr>
                <w:rFonts w:asciiTheme="majorHAnsi" w:hAnsiTheme="majorHAnsi"/>
                <w:color w:val="auto"/>
                <w:sz w:val="22"/>
              </w:rPr>
              <w:t>15</w:t>
            </w:r>
          </w:p>
        </w:tc>
        <w:tc>
          <w:tcPr>
            <w:tcW w:w="2140" w:type="dxa"/>
            <w:noWrap/>
            <w:hideMark/>
          </w:tcPr>
          <w:p w14:paraId="3AABECCF" w14:textId="77777777" w:rsidR="00C543CD" w:rsidRPr="00785C18" w:rsidRDefault="00C54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85C18">
              <w:rPr>
                <w:rFonts w:asciiTheme="majorHAnsi" w:hAnsiTheme="majorHAnsi"/>
                <w:color w:val="auto"/>
                <w:sz w:val="22"/>
              </w:rPr>
              <w:t>Норильск Никель</w:t>
            </w:r>
          </w:p>
        </w:tc>
        <w:tc>
          <w:tcPr>
            <w:tcW w:w="2197" w:type="dxa"/>
            <w:noWrap/>
            <w:hideMark/>
          </w:tcPr>
          <w:p w14:paraId="70A897F7" w14:textId="77777777" w:rsidR="00C543CD" w:rsidRPr="00785C18" w:rsidRDefault="00C543CD" w:rsidP="0078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85C18">
              <w:rPr>
                <w:rFonts w:asciiTheme="majorHAnsi" w:hAnsiTheme="majorHAnsi"/>
                <w:color w:val="auto"/>
                <w:sz w:val="22"/>
              </w:rPr>
              <w:t>80%</w:t>
            </w:r>
          </w:p>
        </w:tc>
        <w:tc>
          <w:tcPr>
            <w:tcW w:w="2704" w:type="dxa"/>
            <w:noWrap/>
            <w:hideMark/>
          </w:tcPr>
          <w:p w14:paraId="0EDADC9D" w14:textId="77777777" w:rsidR="00C543CD" w:rsidRPr="00785C18" w:rsidRDefault="00C543CD" w:rsidP="0078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85C18">
              <w:rPr>
                <w:rFonts w:asciiTheme="majorHAnsi" w:hAnsiTheme="majorHAnsi"/>
                <w:color w:val="auto"/>
                <w:sz w:val="22"/>
              </w:rPr>
              <w:t>$0,03</w:t>
            </w:r>
          </w:p>
        </w:tc>
        <w:tc>
          <w:tcPr>
            <w:tcW w:w="3179" w:type="dxa"/>
          </w:tcPr>
          <w:p w14:paraId="471DBEAC" w14:textId="3E5C3239" w:rsidR="00C543CD" w:rsidRPr="00785C18" w:rsidRDefault="00F8769F" w:rsidP="0078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>650</w:t>
            </w:r>
          </w:p>
        </w:tc>
      </w:tr>
    </w:tbl>
    <w:p w14:paraId="6457B8E0" w14:textId="77777777" w:rsidR="00785C18" w:rsidRDefault="00785C18" w:rsidP="00AB6CFB">
      <w:pPr>
        <w:rPr>
          <w:rFonts w:ascii="Cambria" w:hAnsi="Cambria"/>
          <w:b/>
          <w:color w:val="FF0000"/>
          <w:sz w:val="32"/>
        </w:rPr>
      </w:pPr>
    </w:p>
    <w:p w14:paraId="145C4EAE" w14:textId="7EB00D1F" w:rsidR="00785C18" w:rsidRPr="00C518AF" w:rsidRDefault="00300344">
      <w:pPr>
        <w:rPr>
          <w:rFonts w:ascii="Cambria" w:hAnsi="Cambria"/>
          <w:color w:val="auto"/>
          <w:sz w:val="22"/>
        </w:rPr>
      </w:pPr>
      <w:r w:rsidRPr="00785C18">
        <w:rPr>
          <w:rFonts w:ascii="Cambria" w:hAnsi="Cambria"/>
          <w:color w:val="auto"/>
          <w:sz w:val="22"/>
        </w:rPr>
        <w:t>*</w:t>
      </w:r>
      <w:r>
        <w:rPr>
          <w:rFonts w:ascii="Cambria" w:hAnsi="Cambria"/>
          <w:color w:val="auto"/>
          <w:sz w:val="22"/>
        </w:rPr>
        <w:t xml:space="preserve"> </w:t>
      </w:r>
      <w:r w:rsidR="00785C18" w:rsidRPr="00C518AF">
        <w:rPr>
          <w:rFonts w:ascii="Cambria" w:hAnsi="Cambria"/>
          <w:color w:val="auto"/>
          <w:sz w:val="22"/>
        </w:rPr>
        <w:t xml:space="preserve">Note: Reimbursement allocation was paid in </w:t>
      </w:r>
      <w:r>
        <w:rPr>
          <w:rFonts w:ascii="Cambria" w:hAnsi="Cambria"/>
          <w:color w:val="auto"/>
          <w:sz w:val="22"/>
        </w:rPr>
        <w:t>the</w:t>
      </w:r>
      <w:r w:rsidR="00785C18" w:rsidRPr="00C518AF">
        <w:rPr>
          <w:rFonts w:ascii="Cambria" w:hAnsi="Cambria"/>
          <w:color w:val="auto"/>
          <w:sz w:val="22"/>
        </w:rPr>
        <w:t xml:space="preserve"> form of </w:t>
      </w:r>
      <w:r>
        <w:rPr>
          <w:rFonts w:ascii="Cambria" w:hAnsi="Cambria"/>
          <w:color w:val="auto"/>
          <w:sz w:val="22"/>
        </w:rPr>
        <w:t>an</w:t>
      </w:r>
      <w:r w:rsidRPr="00C518AF">
        <w:rPr>
          <w:rFonts w:ascii="Cambria" w:hAnsi="Cambria"/>
          <w:color w:val="auto"/>
          <w:sz w:val="22"/>
        </w:rPr>
        <w:t xml:space="preserve"> </w:t>
      </w:r>
      <w:r w:rsidR="00785C18" w:rsidRPr="00C518AF">
        <w:rPr>
          <w:rFonts w:ascii="Cambria" w:hAnsi="Cambria"/>
          <w:color w:val="auto"/>
          <w:sz w:val="22"/>
        </w:rPr>
        <w:t xml:space="preserve">upfront payment based on a depositary’s future </w:t>
      </w:r>
      <w:r w:rsidR="00A85EBD">
        <w:rPr>
          <w:rFonts w:ascii="Cambria" w:hAnsi="Cambria"/>
          <w:color w:val="auto"/>
          <w:sz w:val="22"/>
        </w:rPr>
        <w:t xml:space="preserve">projected </w:t>
      </w:r>
      <w:r w:rsidR="00785C18" w:rsidRPr="00C518AF">
        <w:rPr>
          <w:rFonts w:ascii="Cambria" w:hAnsi="Cambria"/>
          <w:color w:val="auto"/>
          <w:sz w:val="22"/>
        </w:rPr>
        <w:t>revenue stream.</w:t>
      </w:r>
    </w:p>
    <w:p w14:paraId="6E454655" w14:textId="42F465A8" w:rsidR="00F57F33" w:rsidRPr="00F57F33" w:rsidRDefault="00F57F33" w:rsidP="00AB6CFB">
      <w:pPr>
        <w:rPr>
          <w:rFonts w:ascii="Cambria" w:hAnsi="Cambria"/>
          <w:color w:val="FF0000"/>
          <w:sz w:val="36"/>
        </w:rPr>
      </w:pPr>
      <w:r w:rsidRPr="00F57F33">
        <w:rPr>
          <w:rFonts w:ascii="Cambria" w:hAnsi="Cambria"/>
          <w:color w:val="FF0000"/>
          <w:sz w:val="36"/>
        </w:rPr>
        <w:t xml:space="preserve">Scope of </w:t>
      </w:r>
      <w:r w:rsidR="00A85EBD">
        <w:rPr>
          <w:rFonts w:ascii="Cambria" w:hAnsi="Cambria"/>
          <w:color w:val="FF0000"/>
          <w:sz w:val="36"/>
        </w:rPr>
        <w:t>S</w:t>
      </w:r>
      <w:r w:rsidRPr="00F57F33">
        <w:rPr>
          <w:rFonts w:ascii="Cambria" w:hAnsi="Cambria"/>
          <w:color w:val="FF0000"/>
          <w:sz w:val="36"/>
        </w:rPr>
        <w:t>ervices</w:t>
      </w:r>
    </w:p>
    <w:p w14:paraId="72A826F5" w14:textId="4DD4628D" w:rsidR="0009497D" w:rsidRPr="0009497D" w:rsidRDefault="00A85EBD" w:rsidP="0009497D">
      <w:pPr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To</w:t>
      </w:r>
      <w:r w:rsidRPr="0009497D">
        <w:rPr>
          <w:rFonts w:ascii="Cambria" w:hAnsi="Cambria"/>
          <w:color w:val="auto"/>
        </w:rPr>
        <w:t xml:space="preserve"> </w:t>
      </w:r>
      <w:r w:rsidR="0009497D" w:rsidRPr="0009497D">
        <w:rPr>
          <w:rFonts w:ascii="Cambria" w:hAnsi="Cambria"/>
          <w:color w:val="auto"/>
        </w:rPr>
        <w:t xml:space="preserve">support a </w:t>
      </w:r>
      <w:r w:rsidR="0009497D">
        <w:rPr>
          <w:rFonts w:ascii="Cambria" w:hAnsi="Cambria"/>
          <w:color w:val="auto"/>
        </w:rPr>
        <w:t xml:space="preserve">depositary receipt program, </w:t>
      </w:r>
      <w:r>
        <w:rPr>
          <w:rFonts w:ascii="Cambria" w:hAnsi="Cambria"/>
          <w:color w:val="auto"/>
        </w:rPr>
        <w:t>d</w:t>
      </w:r>
      <w:r w:rsidR="0009497D" w:rsidRPr="0009497D">
        <w:rPr>
          <w:rFonts w:ascii="Cambria" w:hAnsi="Cambria"/>
          <w:color w:val="auto"/>
        </w:rPr>
        <w:t>epositary</w:t>
      </w:r>
      <w:r w:rsidR="0009497D">
        <w:rPr>
          <w:rFonts w:ascii="Cambria" w:hAnsi="Cambria"/>
          <w:color w:val="auto"/>
        </w:rPr>
        <w:t xml:space="preserve"> banks provide companies </w:t>
      </w:r>
      <w:r w:rsidR="0009497D" w:rsidRPr="0009497D">
        <w:rPr>
          <w:rFonts w:ascii="Cambria" w:hAnsi="Cambria"/>
          <w:color w:val="auto"/>
        </w:rPr>
        <w:t xml:space="preserve">with access to </w:t>
      </w:r>
      <w:r w:rsidR="0009497D">
        <w:rPr>
          <w:rFonts w:ascii="Cambria" w:hAnsi="Cambria"/>
          <w:color w:val="auto"/>
        </w:rPr>
        <w:t>the following value-added services</w:t>
      </w:r>
      <w:r w:rsidR="0009497D" w:rsidRPr="0009497D">
        <w:rPr>
          <w:rFonts w:ascii="Cambria" w:hAnsi="Cambria"/>
          <w:color w:val="auto"/>
        </w:rPr>
        <w:t>:</w:t>
      </w:r>
    </w:p>
    <w:p w14:paraId="37EB7D6A" w14:textId="4262EBDD" w:rsidR="00DD43F9" w:rsidRPr="00DD43F9" w:rsidRDefault="008F68D1" w:rsidP="00DD43F9">
      <w:pPr>
        <w:pStyle w:val="ListParagraph"/>
        <w:numPr>
          <w:ilvl w:val="0"/>
          <w:numId w:val="35"/>
        </w:numPr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The d</w:t>
      </w:r>
      <w:r w:rsidR="00DD43F9" w:rsidRPr="00DD43F9">
        <w:rPr>
          <w:rFonts w:ascii="Cambria" w:hAnsi="Cambria"/>
          <w:color w:val="auto"/>
        </w:rPr>
        <w:t xml:space="preserve">epositary </w:t>
      </w:r>
      <w:r>
        <w:rPr>
          <w:rFonts w:ascii="Cambria" w:hAnsi="Cambria"/>
          <w:color w:val="auto"/>
        </w:rPr>
        <w:t>b</w:t>
      </w:r>
      <w:r w:rsidR="00DD43F9" w:rsidRPr="00DD43F9">
        <w:rPr>
          <w:rFonts w:ascii="Cambria" w:hAnsi="Cambria"/>
          <w:color w:val="auto"/>
        </w:rPr>
        <w:t xml:space="preserve">ank </w:t>
      </w:r>
      <w:r>
        <w:rPr>
          <w:rFonts w:ascii="Cambria" w:hAnsi="Cambria"/>
          <w:color w:val="auto"/>
        </w:rPr>
        <w:t>acts</w:t>
      </w:r>
      <w:r w:rsidRPr="00DD43F9">
        <w:rPr>
          <w:rFonts w:ascii="Cambria" w:hAnsi="Cambria"/>
          <w:color w:val="auto"/>
        </w:rPr>
        <w:t xml:space="preserve"> </w:t>
      </w:r>
      <w:r w:rsidR="0009497D" w:rsidRPr="00DD43F9">
        <w:rPr>
          <w:rFonts w:ascii="Cambria" w:hAnsi="Cambria"/>
          <w:color w:val="auto"/>
        </w:rPr>
        <w:t xml:space="preserve">as </w:t>
      </w:r>
      <w:r w:rsidR="00DD43F9" w:rsidRPr="00DD43F9">
        <w:rPr>
          <w:rFonts w:ascii="Cambria" w:hAnsi="Cambria"/>
          <w:color w:val="auto"/>
        </w:rPr>
        <w:t>a p</w:t>
      </w:r>
      <w:r w:rsidR="0009497D" w:rsidRPr="00DD43F9">
        <w:rPr>
          <w:rFonts w:ascii="Cambria" w:hAnsi="Cambria"/>
          <w:color w:val="auto"/>
        </w:rPr>
        <w:t xml:space="preserve">roxy agent between the company and DR holders. </w:t>
      </w:r>
    </w:p>
    <w:p w14:paraId="60372173" w14:textId="67FF63EF" w:rsidR="00C41978" w:rsidRPr="00DD43F9" w:rsidRDefault="0009497D" w:rsidP="00DD43F9">
      <w:pPr>
        <w:pStyle w:val="ListParagraph"/>
        <w:numPr>
          <w:ilvl w:val="0"/>
          <w:numId w:val="35"/>
        </w:numPr>
        <w:rPr>
          <w:rFonts w:ascii="Cambria" w:hAnsi="Cambria"/>
          <w:color w:val="auto"/>
        </w:rPr>
      </w:pPr>
      <w:r w:rsidRPr="00DD43F9">
        <w:rPr>
          <w:rFonts w:ascii="Cambria" w:hAnsi="Cambria"/>
          <w:color w:val="auto"/>
        </w:rPr>
        <w:t xml:space="preserve">Investor </w:t>
      </w:r>
      <w:r w:rsidR="008F68D1">
        <w:rPr>
          <w:rFonts w:ascii="Cambria" w:hAnsi="Cambria"/>
          <w:color w:val="auto"/>
        </w:rPr>
        <w:t>r</w:t>
      </w:r>
      <w:r w:rsidRPr="00DD43F9">
        <w:rPr>
          <w:rFonts w:ascii="Cambria" w:hAnsi="Cambria"/>
          <w:color w:val="auto"/>
        </w:rPr>
        <w:t xml:space="preserve">elations (IR) counsel — </w:t>
      </w:r>
      <w:r w:rsidR="008F68D1">
        <w:rPr>
          <w:rFonts w:ascii="Cambria" w:hAnsi="Cambria"/>
          <w:color w:val="auto"/>
        </w:rPr>
        <w:t xml:space="preserve">providing </w:t>
      </w:r>
      <w:r w:rsidRPr="00DD43F9">
        <w:rPr>
          <w:rFonts w:ascii="Cambria" w:hAnsi="Cambria"/>
          <w:color w:val="auto"/>
        </w:rPr>
        <w:t>a team of former in-house corporate IR executives who consult and support clients in all aspects of their global IR objectives.</w:t>
      </w:r>
    </w:p>
    <w:p w14:paraId="3E0B1FBB" w14:textId="5CC9CEA1" w:rsidR="000E4610" w:rsidRDefault="00AB6CFB" w:rsidP="00AB6CFB">
      <w:pPr>
        <w:rPr>
          <w:rFonts w:ascii="Cambria" w:hAnsi="Cambria"/>
          <w:color w:val="FF0000"/>
          <w:sz w:val="36"/>
        </w:rPr>
      </w:pPr>
      <w:r w:rsidRPr="00C41978">
        <w:rPr>
          <w:rFonts w:ascii="Cambria" w:hAnsi="Cambria"/>
          <w:color w:val="FF0000"/>
          <w:sz w:val="36"/>
        </w:rPr>
        <w:t xml:space="preserve">Assessment of the </w:t>
      </w:r>
      <w:r w:rsidR="008F68D1">
        <w:rPr>
          <w:rFonts w:ascii="Cambria" w:hAnsi="Cambria"/>
          <w:color w:val="FF0000"/>
          <w:sz w:val="36"/>
        </w:rPr>
        <w:t>C</w:t>
      </w:r>
      <w:r w:rsidRPr="00C41978">
        <w:rPr>
          <w:rFonts w:ascii="Cambria" w:hAnsi="Cambria"/>
          <w:color w:val="FF0000"/>
          <w:sz w:val="36"/>
        </w:rPr>
        <w:t xml:space="preserve">urrent Engagement Letter </w:t>
      </w:r>
      <w:r w:rsidR="008F68D1">
        <w:rPr>
          <w:rFonts w:ascii="Cambria" w:hAnsi="Cambria"/>
          <w:color w:val="FF0000"/>
          <w:sz w:val="36"/>
        </w:rPr>
        <w:t>B</w:t>
      </w:r>
      <w:r w:rsidRPr="00C41978">
        <w:rPr>
          <w:rFonts w:ascii="Cambria" w:hAnsi="Cambria"/>
          <w:color w:val="FF0000"/>
          <w:sz w:val="36"/>
        </w:rPr>
        <w:t>etween Norilsk Nickel and BNYM</w:t>
      </w:r>
    </w:p>
    <w:p w14:paraId="4BCD1270" w14:textId="26093B9A" w:rsidR="00AB6CFB" w:rsidRPr="000E4610" w:rsidRDefault="000E4610" w:rsidP="00A3777B">
      <w:pPr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lastRenderedPageBreak/>
        <w:t xml:space="preserve">In 2009, Norilsk </w:t>
      </w:r>
      <w:r w:rsidR="0048581B">
        <w:rPr>
          <w:rFonts w:ascii="Cambria" w:hAnsi="Cambria"/>
          <w:color w:val="auto"/>
        </w:rPr>
        <w:t>Nickel and BNY Mellon signed a Side Letter</w:t>
      </w:r>
      <w:r w:rsidR="008F68D1">
        <w:rPr>
          <w:rFonts w:ascii="Cambria" w:hAnsi="Cambria"/>
          <w:color w:val="auto"/>
        </w:rPr>
        <w:t xml:space="preserve"> that </w:t>
      </w:r>
      <w:r w:rsidR="0048581B">
        <w:rPr>
          <w:rFonts w:ascii="Cambria" w:hAnsi="Cambria"/>
          <w:color w:val="auto"/>
        </w:rPr>
        <w:t xml:space="preserve">allowed </w:t>
      </w:r>
      <w:r w:rsidR="009C12A5">
        <w:rPr>
          <w:rFonts w:ascii="Cambria" w:hAnsi="Cambria"/>
          <w:color w:val="auto"/>
        </w:rPr>
        <w:t>Norilsk Nickel</w:t>
      </w:r>
      <w:r w:rsidR="0048581B">
        <w:rPr>
          <w:rFonts w:ascii="Cambria" w:hAnsi="Cambria"/>
          <w:color w:val="auto"/>
        </w:rPr>
        <w:t xml:space="preserve"> and BNY Mellon to change f</w:t>
      </w:r>
      <w:r>
        <w:rPr>
          <w:rFonts w:ascii="Cambria" w:hAnsi="Cambria"/>
          <w:color w:val="auto"/>
        </w:rPr>
        <w:t xml:space="preserve">inancial </w:t>
      </w:r>
      <w:r w:rsidR="0048581B">
        <w:rPr>
          <w:rFonts w:ascii="Cambria" w:hAnsi="Cambria"/>
          <w:color w:val="auto"/>
        </w:rPr>
        <w:t xml:space="preserve">arrangements </w:t>
      </w:r>
      <w:r>
        <w:rPr>
          <w:rFonts w:ascii="Cambria" w:hAnsi="Cambria"/>
          <w:color w:val="auto"/>
        </w:rPr>
        <w:t xml:space="preserve">and </w:t>
      </w:r>
      <w:r w:rsidR="008F68D1">
        <w:rPr>
          <w:rFonts w:ascii="Cambria" w:hAnsi="Cambria"/>
          <w:color w:val="auto"/>
        </w:rPr>
        <w:t xml:space="preserve">the </w:t>
      </w:r>
      <w:r>
        <w:rPr>
          <w:rFonts w:ascii="Cambria" w:hAnsi="Cambria"/>
          <w:color w:val="auto"/>
        </w:rPr>
        <w:t xml:space="preserve">terms and condition of the Engagement </w:t>
      </w:r>
      <w:r w:rsidR="008F68D1">
        <w:rPr>
          <w:rFonts w:ascii="Cambria" w:hAnsi="Cambria"/>
          <w:color w:val="auto"/>
        </w:rPr>
        <w:t>L</w:t>
      </w:r>
      <w:r>
        <w:rPr>
          <w:rFonts w:ascii="Cambria" w:hAnsi="Cambria"/>
          <w:color w:val="auto"/>
        </w:rPr>
        <w:t xml:space="preserve">etter dated November 2001. </w:t>
      </w:r>
      <w:r w:rsidR="008F68D1">
        <w:rPr>
          <w:rFonts w:ascii="Cambria" w:hAnsi="Cambria"/>
          <w:color w:val="auto"/>
        </w:rPr>
        <w:t xml:space="preserve">  </w:t>
      </w:r>
      <w:r>
        <w:rPr>
          <w:rFonts w:ascii="Cambria" w:hAnsi="Cambria"/>
          <w:color w:val="auto"/>
        </w:rPr>
        <w:t xml:space="preserve">BNY Mellon agreed to reimburse the company $25 million as an upfront payment and share 10% </w:t>
      </w:r>
      <w:r w:rsidR="008F68D1">
        <w:rPr>
          <w:rFonts w:ascii="Cambria" w:hAnsi="Cambria"/>
          <w:color w:val="auto"/>
        </w:rPr>
        <w:t xml:space="preserve">of </w:t>
      </w:r>
      <w:r>
        <w:rPr>
          <w:rFonts w:ascii="Cambria" w:hAnsi="Cambria"/>
          <w:color w:val="auto"/>
        </w:rPr>
        <w:t>its gross revenue.  In return</w:t>
      </w:r>
      <w:r w:rsidR="0048581B">
        <w:rPr>
          <w:rFonts w:ascii="Cambria" w:hAnsi="Cambria"/>
          <w:color w:val="auto"/>
        </w:rPr>
        <w:t>,</w:t>
      </w:r>
      <w:r>
        <w:rPr>
          <w:rFonts w:ascii="Cambria" w:hAnsi="Cambria"/>
          <w:color w:val="auto"/>
        </w:rPr>
        <w:t xml:space="preserve"> BNY Mellon asked </w:t>
      </w:r>
      <w:r w:rsidR="009C12A5">
        <w:rPr>
          <w:rFonts w:ascii="Cambria" w:hAnsi="Cambria"/>
          <w:color w:val="auto"/>
        </w:rPr>
        <w:t xml:space="preserve">Norilsk Nickel </w:t>
      </w:r>
      <w:r>
        <w:rPr>
          <w:rFonts w:ascii="Cambria" w:hAnsi="Cambria"/>
          <w:color w:val="auto"/>
        </w:rPr>
        <w:t>for permission to charge $0</w:t>
      </w:r>
      <w:r w:rsidR="008F68D1">
        <w:rPr>
          <w:rFonts w:ascii="Cambria" w:hAnsi="Cambria"/>
          <w:color w:val="auto"/>
        </w:rPr>
        <w:t>.</w:t>
      </w:r>
      <w:r>
        <w:rPr>
          <w:rFonts w:ascii="Cambria" w:hAnsi="Cambria"/>
          <w:color w:val="auto"/>
        </w:rPr>
        <w:t xml:space="preserve">03 per DR on DR holders. </w:t>
      </w:r>
      <w:r w:rsidR="008F68D1">
        <w:rPr>
          <w:rFonts w:ascii="Cambria" w:hAnsi="Cambria"/>
          <w:color w:val="auto"/>
        </w:rPr>
        <w:t xml:space="preserve"> </w:t>
      </w:r>
      <w:r>
        <w:rPr>
          <w:rFonts w:ascii="Cambria" w:hAnsi="Cambria"/>
          <w:color w:val="auto"/>
        </w:rPr>
        <w:t>The fee of $0</w:t>
      </w:r>
      <w:r w:rsidR="008F68D1">
        <w:rPr>
          <w:rFonts w:ascii="Cambria" w:hAnsi="Cambria"/>
          <w:color w:val="auto"/>
        </w:rPr>
        <w:t>.</w:t>
      </w:r>
      <w:r>
        <w:rPr>
          <w:rFonts w:ascii="Cambria" w:hAnsi="Cambria"/>
          <w:color w:val="auto"/>
        </w:rPr>
        <w:t xml:space="preserve">03 consists of </w:t>
      </w:r>
      <w:r w:rsidR="0048581B">
        <w:rPr>
          <w:rFonts w:ascii="Cambria" w:hAnsi="Cambria"/>
          <w:color w:val="auto"/>
        </w:rPr>
        <w:t>the Dividend F</w:t>
      </w:r>
      <w:r>
        <w:rPr>
          <w:rFonts w:ascii="Cambria" w:hAnsi="Cambria"/>
          <w:color w:val="auto"/>
        </w:rPr>
        <w:t>ee of $0</w:t>
      </w:r>
      <w:r w:rsidR="008F68D1">
        <w:rPr>
          <w:rFonts w:ascii="Cambria" w:hAnsi="Cambria"/>
          <w:color w:val="auto"/>
        </w:rPr>
        <w:t>.</w:t>
      </w:r>
      <w:r>
        <w:rPr>
          <w:rFonts w:ascii="Cambria" w:hAnsi="Cambria"/>
          <w:color w:val="auto"/>
        </w:rPr>
        <w:t>02 and Depositary Service Fee (DSF) of $0</w:t>
      </w:r>
      <w:r w:rsidR="008F68D1">
        <w:rPr>
          <w:rFonts w:ascii="Cambria" w:hAnsi="Cambria"/>
          <w:color w:val="auto"/>
        </w:rPr>
        <w:t>.</w:t>
      </w:r>
      <w:r>
        <w:rPr>
          <w:rFonts w:ascii="Cambria" w:hAnsi="Cambria"/>
          <w:color w:val="auto"/>
        </w:rPr>
        <w:t xml:space="preserve">01  </w:t>
      </w:r>
    </w:p>
    <w:p w14:paraId="154933CC" w14:textId="4B403C57" w:rsidR="00656AE8" w:rsidRPr="00C518AF" w:rsidRDefault="00656AE8" w:rsidP="00656AE8">
      <w:pPr>
        <w:rPr>
          <w:rFonts w:ascii="Cambria" w:hAnsi="Cambria" w:cs="Times New Roman"/>
          <w:b/>
          <w:color w:val="auto"/>
        </w:rPr>
      </w:pPr>
      <w:r w:rsidRPr="00C518AF">
        <w:rPr>
          <w:rFonts w:ascii="Cambria" w:hAnsi="Cambria" w:cs="Times New Roman"/>
          <w:b/>
          <w:color w:val="auto"/>
        </w:rPr>
        <w:t xml:space="preserve">Structure of </w:t>
      </w:r>
      <w:r w:rsidR="008F68D1" w:rsidRPr="00C518AF">
        <w:rPr>
          <w:rFonts w:ascii="Cambria" w:hAnsi="Cambria" w:cs="Times New Roman"/>
          <w:b/>
          <w:color w:val="auto"/>
        </w:rPr>
        <w:t xml:space="preserve">the </w:t>
      </w:r>
      <w:r w:rsidRPr="00C518AF">
        <w:rPr>
          <w:rFonts w:ascii="Cambria" w:hAnsi="Cambria" w:cs="Times New Roman"/>
          <w:b/>
          <w:color w:val="auto"/>
        </w:rPr>
        <w:t xml:space="preserve">Current DR Agreement </w:t>
      </w:r>
      <w:r w:rsidR="008F68D1" w:rsidRPr="00C518AF">
        <w:rPr>
          <w:rFonts w:ascii="Cambria" w:hAnsi="Cambria" w:cs="Times New Roman"/>
          <w:b/>
          <w:color w:val="auto"/>
        </w:rPr>
        <w:t>B</w:t>
      </w:r>
      <w:r w:rsidRPr="00C518AF">
        <w:rPr>
          <w:rFonts w:ascii="Cambria" w:hAnsi="Cambria" w:cs="Times New Roman"/>
          <w:b/>
          <w:color w:val="auto"/>
        </w:rPr>
        <w:t>etween BNY Mellon and Norilsk Nickel</w:t>
      </w:r>
    </w:p>
    <w:p w14:paraId="3454DC2C" w14:textId="6F3583A5" w:rsidR="00656AE8" w:rsidRPr="006C1C08" w:rsidRDefault="00656AE8" w:rsidP="00656AE8">
      <w:pPr>
        <w:pStyle w:val="ListParagraph"/>
        <w:numPr>
          <w:ilvl w:val="0"/>
          <w:numId w:val="19"/>
        </w:numPr>
        <w:spacing w:before="0" w:after="0"/>
        <w:rPr>
          <w:rFonts w:ascii="Cambria" w:hAnsi="Cambria" w:cs="Times New Roman"/>
          <w:color w:val="auto"/>
        </w:rPr>
      </w:pPr>
      <w:r w:rsidRPr="006C1C08">
        <w:rPr>
          <w:rFonts w:ascii="Cambria" w:hAnsi="Cambria" w:cs="Times New Roman"/>
          <w:color w:val="auto"/>
        </w:rPr>
        <w:t>Side Letter dated November 31</w:t>
      </w:r>
      <w:r w:rsidR="003436B7">
        <w:rPr>
          <w:rFonts w:ascii="Cambria" w:hAnsi="Cambria" w:cs="Times New Roman"/>
          <w:color w:val="auto"/>
        </w:rPr>
        <w:t>,</w:t>
      </w:r>
      <w:r w:rsidRPr="006C1C08">
        <w:rPr>
          <w:rFonts w:ascii="Cambria" w:hAnsi="Cambria" w:cs="Times New Roman"/>
          <w:color w:val="auto"/>
        </w:rPr>
        <w:t xml:space="preserve"> 2009 </w:t>
      </w:r>
    </w:p>
    <w:p w14:paraId="368F4D44" w14:textId="77777777" w:rsidR="00656AE8" w:rsidRPr="006C1C08" w:rsidRDefault="00656AE8" w:rsidP="00656AE8">
      <w:pPr>
        <w:pStyle w:val="ListParagraph"/>
        <w:numPr>
          <w:ilvl w:val="0"/>
          <w:numId w:val="19"/>
        </w:numPr>
        <w:spacing w:before="0" w:after="0"/>
        <w:rPr>
          <w:rFonts w:ascii="Cambria" w:hAnsi="Cambria" w:cs="Times New Roman"/>
          <w:color w:val="auto"/>
        </w:rPr>
      </w:pPr>
      <w:r w:rsidRPr="006C1C08">
        <w:rPr>
          <w:rFonts w:ascii="Cambria" w:hAnsi="Cambria" w:cs="Times New Roman"/>
          <w:color w:val="auto"/>
        </w:rPr>
        <w:t xml:space="preserve">Duration of the Side Letter: 5 years </w:t>
      </w:r>
    </w:p>
    <w:p w14:paraId="3293F5E8" w14:textId="7A57B4B0" w:rsidR="00656AE8" w:rsidRPr="006C1C08" w:rsidRDefault="00656AE8" w:rsidP="00656AE8">
      <w:pPr>
        <w:pStyle w:val="ListParagraph"/>
        <w:numPr>
          <w:ilvl w:val="0"/>
          <w:numId w:val="19"/>
        </w:numPr>
        <w:spacing w:before="0" w:after="0"/>
        <w:rPr>
          <w:rFonts w:ascii="Cambria" w:hAnsi="Cambria" w:cs="Times New Roman"/>
          <w:color w:val="auto"/>
        </w:rPr>
      </w:pPr>
      <w:r w:rsidRPr="006C1C08">
        <w:rPr>
          <w:rFonts w:ascii="Cambria" w:hAnsi="Cambria" w:cs="Times New Roman"/>
          <w:color w:val="auto"/>
        </w:rPr>
        <w:t xml:space="preserve">Financial </w:t>
      </w:r>
      <w:r w:rsidR="008F68D1">
        <w:rPr>
          <w:rFonts w:ascii="Cambria" w:hAnsi="Cambria" w:cs="Times New Roman"/>
          <w:color w:val="auto"/>
        </w:rPr>
        <w:t>t</w:t>
      </w:r>
      <w:r w:rsidRPr="006C1C08">
        <w:rPr>
          <w:rFonts w:ascii="Cambria" w:hAnsi="Cambria" w:cs="Times New Roman"/>
          <w:color w:val="auto"/>
        </w:rPr>
        <w:t xml:space="preserve">erms of the Side letter: </w:t>
      </w:r>
    </w:p>
    <w:p w14:paraId="714D94B4" w14:textId="77777777" w:rsidR="00656AE8" w:rsidRPr="006C1C08" w:rsidRDefault="00656AE8" w:rsidP="00656AE8">
      <w:pPr>
        <w:pStyle w:val="ListParagraph"/>
        <w:numPr>
          <w:ilvl w:val="0"/>
          <w:numId w:val="21"/>
        </w:numPr>
        <w:spacing w:before="0" w:after="0"/>
        <w:rPr>
          <w:rFonts w:ascii="Cambria" w:hAnsi="Cambria" w:cs="Times New Roman"/>
          <w:color w:val="auto"/>
        </w:rPr>
      </w:pPr>
      <w:r w:rsidRPr="006C1C08">
        <w:rPr>
          <w:rFonts w:ascii="Cambria" w:hAnsi="Cambria" w:cs="Times New Roman"/>
          <w:color w:val="auto"/>
        </w:rPr>
        <w:t>$25 million (upfront payment)</w:t>
      </w:r>
    </w:p>
    <w:p w14:paraId="484EABE9" w14:textId="14C8A706" w:rsidR="00BD55A6" w:rsidRPr="006C1C08" w:rsidRDefault="00656AE8" w:rsidP="00BD55A6">
      <w:pPr>
        <w:pStyle w:val="ListParagraph"/>
        <w:numPr>
          <w:ilvl w:val="0"/>
          <w:numId w:val="21"/>
        </w:numPr>
        <w:spacing w:before="0" w:after="0"/>
        <w:rPr>
          <w:rFonts w:ascii="Cambria" w:hAnsi="Cambria" w:cs="Times New Roman"/>
          <w:color w:val="auto"/>
        </w:rPr>
      </w:pPr>
      <w:r w:rsidRPr="006C1C08">
        <w:rPr>
          <w:rFonts w:ascii="Cambria" w:hAnsi="Cambria" w:cs="Times New Roman"/>
          <w:color w:val="auto"/>
        </w:rPr>
        <w:t xml:space="preserve">10% revenue sharing </w:t>
      </w:r>
      <w:r w:rsidR="00BD55A6" w:rsidRPr="006C1C08">
        <w:rPr>
          <w:rFonts w:ascii="Cambria" w:hAnsi="Cambria" w:cs="Times New Roman"/>
          <w:color w:val="auto"/>
        </w:rPr>
        <w:t xml:space="preserve">of BNY Mellon’s </w:t>
      </w:r>
      <w:r w:rsidR="008F68D1">
        <w:rPr>
          <w:rFonts w:ascii="Cambria" w:hAnsi="Cambria" w:cs="Times New Roman"/>
          <w:color w:val="auto"/>
        </w:rPr>
        <w:t>g</w:t>
      </w:r>
      <w:r w:rsidR="00BD55A6" w:rsidRPr="006C1C08">
        <w:rPr>
          <w:rFonts w:ascii="Cambria" w:hAnsi="Cambria" w:cs="Times New Roman"/>
          <w:color w:val="auto"/>
        </w:rPr>
        <w:t>ross revenue per year</w:t>
      </w:r>
    </w:p>
    <w:p w14:paraId="0D25E07D" w14:textId="77777777" w:rsidR="00BD55A6" w:rsidRPr="006C1C08" w:rsidRDefault="00BD55A6" w:rsidP="00BD55A6">
      <w:pPr>
        <w:pStyle w:val="ListParagraph"/>
        <w:spacing w:before="0" w:after="0"/>
        <w:ind w:left="1080"/>
        <w:rPr>
          <w:rFonts w:ascii="Cambria" w:hAnsi="Cambria" w:cs="Times New Roman"/>
          <w:color w:val="auto"/>
        </w:rPr>
      </w:pPr>
    </w:p>
    <w:p w14:paraId="0121E2E5" w14:textId="77777777" w:rsidR="00BD55A6" w:rsidRPr="008D2BE4" w:rsidRDefault="00BD55A6" w:rsidP="00BD55A6">
      <w:pPr>
        <w:pStyle w:val="ListParagraph"/>
        <w:numPr>
          <w:ilvl w:val="0"/>
          <w:numId w:val="23"/>
        </w:numPr>
        <w:spacing w:before="0" w:after="0"/>
        <w:rPr>
          <w:rFonts w:ascii="Cambria" w:hAnsi="Cambria" w:cs="Times New Roman"/>
          <w:b/>
          <w:color w:val="auto"/>
        </w:rPr>
      </w:pPr>
      <w:r w:rsidRPr="008D2BE4">
        <w:rPr>
          <w:rFonts w:ascii="Cambria" w:hAnsi="Cambria" w:cs="Times New Roman"/>
          <w:b/>
          <w:color w:val="auto"/>
          <w:szCs w:val="24"/>
        </w:rPr>
        <w:t>Depositary</w:t>
      </w:r>
      <w:r w:rsidR="00656AE8" w:rsidRPr="008D2BE4">
        <w:rPr>
          <w:rFonts w:ascii="Cambria" w:hAnsi="Cambria" w:cs="Times New Roman"/>
          <w:b/>
          <w:color w:val="auto"/>
          <w:szCs w:val="24"/>
        </w:rPr>
        <w:t xml:space="preserve"> Fee</w:t>
      </w:r>
      <w:r w:rsidR="00605CDD" w:rsidRPr="008D2BE4">
        <w:rPr>
          <w:rFonts w:ascii="Cambria" w:hAnsi="Cambria" w:cs="Times New Roman"/>
          <w:b/>
          <w:color w:val="auto"/>
          <w:szCs w:val="24"/>
        </w:rPr>
        <w:t>s</w:t>
      </w:r>
      <w:r w:rsidR="00656AE8" w:rsidRPr="008D2BE4">
        <w:rPr>
          <w:rFonts w:ascii="Cambria" w:hAnsi="Cambria" w:cs="Times New Roman"/>
          <w:b/>
          <w:color w:val="auto"/>
          <w:szCs w:val="24"/>
        </w:rPr>
        <w:t xml:space="preserve">: </w:t>
      </w:r>
    </w:p>
    <w:p w14:paraId="0C0A299C" w14:textId="70BC4C98" w:rsidR="00BD55A6" w:rsidRPr="006C1C08" w:rsidRDefault="00BD55A6" w:rsidP="00BD55A6">
      <w:pPr>
        <w:pStyle w:val="ListParagraph"/>
        <w:spacing w:before="0" w:after="0"/>
        <w:rPr>
          <w:rFonts w:ascii="Cambria" w:hAnsi="Cambria" w:cs="Times New Roman"/>
          <w:color w:val="auto"/>
          <w:szCs w:val="24"/>
        </w:rPr>
      </w:pPr>
      <w:r w:rsidRPr="006C1C08">
        <w:rPr>
          <w:rFonts w:ascii="Cambria" w:hAnsi="Cambria" w:cs="Times New Roman"/>
          <w:color w:val="auto"/>
          <w:szCs w:val="24"/>
        </w:rPr>
        <w:t>a) Issuance Fee: $0</w:t>
      </w:r>
      <w:r w:rsidR="008F68D1">
        <w:rPr>
          <w:rFonts w:ascii="Cambria" w:hAnsi="Cambria" w:cs="Times New Roman"/>
          <w:color w:val="auto"/>
          <w:szCs w:val="24"/>
        </w:rPr>
        <w:t>.</w:t>
      </w:r>
      <w:r w:rsidRPr="006C1C08">
        <w:rPr>
          <w:rFonts w:ascii="Cambria" w:hAnsi="Cambria" w:cs="Times New Roman"/>
          <w:color w:val="auto"/>
          <w:szCs w:val="24"/>
        </w:rPr>
        <w:t>05</w:t>
      </w:r>
      <w:r w:rsidR="00656AE8" w:rsidRPr="006C1C08">
        <w:rPr>
          <w:rFonts w:ascii="Cambria" w:hAnsi="Cambria" w:cs="Times New Roman"/>
          <w:color w:val="auto"/>
          <w:szCs w:val="24"/>
        </w:rPr>
        <w:t xml:space="preserve"> per DR</w:t>
      </w:r>
    </w:p>
    <w:p w14:paraId="7CEB04E9" w14:textId="02D36500" w:rsidR="00BD55A6" w:rsidRPr="006C1C08" w:rsidRDefault="00BD55A6" w:rsidP="00BD55A6">
      <w:pPr>
        <w:pStyle w:val="ListParagraph"/>
        <w:spacing w:before="0" w:after="0"/>
        <w:rPr>
          <w:rFonts w:ascii="Cambria" w:hAnsi="Cambria" w:cs="Times New Roman"/>
          <w:color w:val="auto"/>
          <w:szCs w:val="24"/>
        </w:rPr>
      </w:pPr>
      <w:r w:rsidRPr="006C1C08">
        <w:rPr>
          <w:rFonts w:ascii="Cambria" w:hAnsi="Cambria" w:cs="Times New Roman"/>
          <w:color w:val="auto"/>
          <w:szCs w:val="24"/>
        </w:rPr>
        <w:t>b) Cancelation Fee: $0</w:t>
      </w:r>
      <w:r w:rsidR="008F68D1">
        <w:rPr>
          <w:rFonts w:ascii="Cambria" w:hAnsi="Cambria" w:cs="Times New Roman"/>
          <w:color w:val="auto"/>
          <w:szCs w:val="24"/>
        </w:rPr>
        <w:t>.</w:t>
      </w:r>
      <w:r w:rsidRPr="006C1C08">
        <w:rPr>
          <w:rFonts w:ascii="Cambria" w:hAnsi="Cambria" w:cs="Times New Roman"/>
          <w:color w:val="auto"/>
          <w:szCs w:val="24"/>
        </w:rPr>
        <w:t>05 per DR</w:t>
      </w:r>
    </w:p>
    <w:p w14:paraId="5F284FAC" w14:textId="02D65532" w:rsidR="00BD55A6" w:rsidRPr="006C1C08" w:rsidRDefault="00BD55A6" w:rsidP="00BD55A6">
      <w:pPr>
        <w:pStyle w:val="ListParagraph"/>
        <w:spacing w:before="0" w:after="0"/>
        <w:rPr>
          <w:rFonts w:ascii="Cambria" w:hAnsi="Cambria" w:cs="Times New Roman"/>
          <w:color w:val="auto"/>
          <w:szCs w:val="24"/>
        </w:rPr>
      </w:pPr>
      <w:r w:rsidRPr="006C1C08">
        <w:rPr>
          <w:rFonts w:ascii="Cambria" w:hAnsi="Cambria" w:cs="Times New Roman"/>
          <w:color w:val="auto"/>
          <w:szCs w:val="24"/>
        </w:rPr>
        <w:t>c)  Dividend Fee: $0</w:t>
      </w:r>
      <w:r w:rsidR="008F68D1">
        <w:rPr>
          <w:rFonts w:ascii="Cambria" w:hAnsi="Cambria" w:cs="Times New Roman"/>
          <w:color w:val="auto"/>
          <w:szCs w:val="24"/>
        </w:rPr>
        <w:t>.</w:t>
      </w:r>
      <w:r w:rsidRPr="006C1C08">
        <w:rPr>
          <w:rFonts w:ascii="Cambria" w:hAnsi="Cambria" w:cs="Times New Roman"/>
          <w:color w:val="auto"/>
          <w:szCs w:val="24"/>
        </w:rPr>
        <w:t>02 per DR</w:t>
      </w:r>
    </w:p>
    <w:p w14:paraId="20C5C734" w14:textId="738F0860" w:rsidR="005E4EF7" w:rsidRPr="00E804B2" w:rsidRDefault="00BD55A6" w:rsidP="00E804B2">
      <w:pPr>
        <w:pStyle w:val="ListParagraph"/>
        <w:spacing w:before="0" w:after="0"/>
        <w:rPr>
          <w:rFonts w:ascii="Cambria" w:hAnsi="Cambria" w:cs="Times New Roman"/>
          <w:color w:val="auto"/>
          <w:szCs w:val="24"/>
        </w:rPr>
      </w:pPr>
      <w:r w:rsidRPr="006C1C08">
        <w:rPr>
          <w:rFonts w:ascii="Cambria" w:hAnsi="Cambria" w:cs="Times New Roman"/>
          <w:color w:val="auto"/>
          <w:szCs w:val="24"/>
        </w:rPr>
        <w:t>d) Depositary Service Fee: $0</w:t>
      </w:r>
      <w:r w:rsidR="008F68D1">
        <w:rPr>
          <w:rFonts w:ascii="Cambria" w:hAnsi="Cambria" w:cs="Times New Roman"/>
          <w:color w:val="auto"/>
          <w:szCs w:val="24"/>
        </w:rPr>
        <w:t>.</w:t>
      </w:r>
      <w:r w:rsidRPr="006C1C08">
        <w:rPr>
          <w:rFonts w:ascii="Cambria" w:hAnsi="Cambria" w:cs="Times New Roman"/>
          <w:color w:val="auto"/>
          <w:szCs w:val="24"/>
        </w:rPr>
        <w:t>01</w:t>
      </w:r>
      <w:r w:rsidR="00656AE8" w:rsidRPr="006C1C08">
        <w:rPr>
          <w:rFonts w:ascii="Cambria" w:hAnsi="Cambria" w:cs="Times New Roman"/>
          <w:color w:val="auto"/>
          <w:szCs w:val="24"/>
        </w:rPr>
        <w:t xml:space="preserve"> per D</w:t>
      </w:r>
      <w:r w:rsidR="00E804B2">
        <w:rPr>
          <w:rFonts w:ascii="Cambria" w:hAnsi="Cambria" w:cs="Times New Roman"/>
          <w:color w:val="auto"/>
          <w:szCs w:val="24"/>
        </w:rPr>
        <w:t>R</w:t>
      </w:r>
    </w:p>
    <w:p w14:paraId="4FA9814A" w14:textId="77777777" w:rsidR="000C3C94" w:rsidRDefault="000C3C94" w:rsidP="00E804B2">
      <w:pPr>
        <w:jc w:val="both"/>
        <w:rPr>
          <w:rFonts w:ascii="Cambria" w:hAnsi="Cambria" w:cs="Times New Roman"/>
          <w:color w:val="auto"/>
        </w:rPr>
      </w:pPr>
    </w:p>
    <w:p w14:paraId="024440B9" w14:textId="02276507" w:rsidR="00C33213" w:rsidRPr="007E38B5" w:rsidRDefault="00C41978" w:rsidP="00E804B2">
      <w:pPr>
        <w:jc w:val="both"/>
        <w:rPr>
          <w:rFonts w:ascii="Cambria" w:hAnsi="Cambria" w:cs="Times New Roman"/>
          <w:color w:val="auto"/>
        </w:rPr>
      </w:pPr>
      <w:r w:rsidRPr="0048581B">
        <w:rPr>
          <w:rFonts w:ascii="Cambria" w:hAnsi="Cambria" w:cs="Times New Roman"/>
          <w:color w:val="auto"/>
        </w:rPr>
        <w:t xml:space="preserve">Based on our calculation, BNY Mellon generates approximately $____ per year from the Norilsk Nickel DR program. In return, BNYM allocates ___ </w:t>
      </w:r>
      <w:r w:rsidR="008F68D1" w:rsidRPr="0048581B">
        <w:rPr>
          <w:rFonts w:ascii="Cambria" w:hAnsi="Cambria" w:cs="Times New Roman"/>
          <w:color w:val="auto"/>
        </w:rPr>
        <w:t xml:space="preserve">million </w:t>
      </w:r>
      <w:r w:rsidRPr="0048581B">
        <w:rPr>
          <w:rFonts w:ascii="Cambria" w:hAnsi="Cambria" w:cs="Times New Roman"/>
          <w:color w:val="auto"/>
        </w:rPr>
        <w:t xml:space="preserve">to the company as an annual reimbursement. </w:t>
      </w:r>
      <w:r w:rsidR="008F68D1">
        <w:rPr>
          <w:rFonts w:ascii="Cambria" w:hAnsi="Cambria" w:cs="Times New Roman"/>
          <w:color w:val="auto"/>
        </w:rPr>
        <w:t xml:space="preserve">  </w:t>
      </w:r>
      <w:r w:rsidRPr="0048581B">
        <w:rPr>
          <w:rFonts w:ascii="Cambria" w:hAnsi="Cambria" w:cs="Times New Roman"/>
          <w:color w:val="auto"/>
        </w:rPr>
        <w:t>This allocation split is designed in favor of BNYM</w:t>
      </w:r>
      <w:r w:rsidR="008F68D1">
        <w:rPr>
          <w:rFonts w:ascii="Cambria" w:hAnsi="Cambria" w:cs="Times New Roman"/>
          <w:color w:val="auto"/>
        </w:rPr>
        <w:t>,</w:t>
      </w:r>
      <w:r w:rsidRPr="0048581B">
        <w:rPr>
          <w:rFonts w:ascii="Cambria" w:hAnsi="Cambria" w:cs="Times New Roman"/>
          <w:color w:val="auto"/>
        </w:rPr>
        <w:t xml:space="preserve"> </w:t>
      </w:r>
      <w:r w:rsidR="008F68D1">
        <w:rPr>
          <w:rFonts w:ascii="Cambria" w:hAnsi="Cambria" w:cs="Times New Roman"/>
          <w:color w:val="auto"/>
        </w:rPr>
        <w:t>since</w:t>
      </w:r>
      <w:r w:rsidR="008F68D1" w:rsidRPr="0048581B">
        <w:rPr>
          <w:rFonts w:ascii="Cambria" w:hAnsi="Cambria" w:cs="Times New Roman"/>
          <w:color w:val="auto"/>
        </w:rPr>
        <w:t xml:space="preserve"> </w:t>
      </w:r>
      <w:r w:rsidRPr="0048581B">
        <w:rPr>
          <w:rFonts w:ascii="Cambria" w:hAnsi="Cambria" w:cs="Times New Roman"/>
          <w:color w:val="auto"/>
        </w:rPr>
        <w:t xml:space="preserve">____% of the gross revenue is being kept by </w:t>
      </w:r>
      <w:r w:rsidR="008F68D1">
        <w:rPr>
          <w:rFonts w:ascii="Cambria" w:hAnsi="Cambria" w:cs="Times New Roman"/>
          <w:color w:val="auto"/>
        </w:rPr>
        <w:t>BNYM as the</w:t>
      </w:r>
      <w:r w:rsidRPr="0048581B">
        <w:rPr>
          <w:rFonts w:ascii="Cambria" w:hAnsi="Cambria" w:cs="Times New Roman"/>
          <w:color w:val="auto"/>
        </w:rPr>
        <w:t xml:space="preserve"> depositary bank</w:t>
      </w:r>
      <w:r w:rsidR="008F68D1">
        <w:rPr>
          <w:rFonts w:ascii="Cambria" w:hAnsi="Cambria" w:cs="Times New Roman"/>
          <w:color w:val="auto"/>
        </w:rPr>
        <w:t>,</w:t>
      </w:r>
      <w:r w:rsidRPr="0048581B">
        <w:rPr>
          <w:rFonts w:ascii="Cambria" w:hAnsi="Cambria" w:cs="Times New Roman"/>
          <w:color w:val="auto"/>
        </w:rPr>
        <w:t xml:space="preserve"> and only ___</w:t>
      </w:r>
      <w:r w:rsidR="004229EE" w:rsidRPr="0048581B">
        <w:rPr>
          <w:rFonts w:ascii="Cambria" w:hAnsi="Cambria" w:cs="Times New Roman"/>
          <w:color w:val="auto"/>
        </w:rPr>
        <w:t xml:space="preserve">_ </w:t>
      </w:r>
      <w:r w:rsidR="004229EE">
        <w:rPr>
          <w:rFonts w:ascii="Cambria" w:hAnsi="Cambria" w:cs="Times New Roman"/>
          <w:color w:val="auto"/>
        </w:rPr>
        <w:t>is</w:t>
      </w:r>
      <w:r w:rsidRPr="0048581B">
        <w:rPr>
          <w:rFonts w:ascii="Cambria" w:hAnsi="Cambria" w:cs="Times New Roman"/>
          <w:color w:val="auto"/>
        </w:rPr>
        <w:t xml:space="preserve"> allocated</w:t>
      </w:r>
      <w:r w:rsidR="000C3C94">
        <w:rPr>
          <w:rFonts w:ascii="Cambria" w:hAnsi="Cambria" w:cs="Times New Roman"/>
          <w:color w:val="auto"/>
        </w:rPr>
        <w:t xml:space="preserve"> </w:t>
      </w:r>
      <w:r w:rsidR="008F68D1">
        <w:rPr>
          <w:rFonts w:ascii="Cambria" w:hAnsi="Cambria" w:cs="Times New Roman"/>
          <w:color w:val="auto"/>
        </w:rPr>
        <w:t xml:space="preserve">in </w:t>
      </w:r>
      <w:r w:rsidR="000C3C94">
        <w:rPr>
          <w:rFonts w:ascii="Cambria" w:hAnsi="Cambria" w:cs="Times New Roman"/>
          <w:color w:val="auto"/>
        </w:rPr>
        <w:t xml:space="preserve">aggregate </w:t>
      </w:r>
      <w:r w:rsidRPr="0048581B">
        <w:rPr>
          <w:rFonts w:ascii="Cambria" w:hAnsi="Cambria" w:cs="Times New Roman"/>
          <w:color w:val="auto"/>
        </w:rPr>
        <w:t xml:space="preserve">to Norilsk Nickel in </w:t>
      </w:r>
      <w:r w:rsidR="008F68D1">
        <w:rPr>
          <w:rFonts w:ascii="Cambria" w:hAnsi="Cambria" w:cs="Times New Roman"/>
          <w:color w:val="auto"/>
        </w:rPr>
        <w:t>the</w:t>
      </w:r>
      <w:r w:rsidR="008F68D1" w:rsidRPr="0048581B">
        <w:rPr>
          <w:rFonts w:ascii="Cambria" w:hAnsi="Cambria" w:cs="Times New Roman"/>
          <w:color w:val="auto"/>
        </w:rPr>
        <w:t xml:space="preserve"> </w:t>
      </w:r>
      <w:r w:rsidRPr="0048581B">
        <w:rPr>
          <w:rFonts w:ascii="Cambria" w:hAnsi="Cambria" w:cs="Times New Roman"/>
          <w:color w:val="auto"/>
        </w:rPr>
        <w:t xml:space="preserve">form of </w:t>
      </w:r>
      <w:r w:rsidR="008F68D1">
        <w:rPr>
          <w:rFonts w:ascii="Cambria" w:hAnsi="Cambria" w:cs="Times New Roman"/>
          <w:color w:val="auto"/>
        </w:rPr>
        <w:t>an</w:t>
      </w:r>
      <w:r w:rsidR="008F68D1" w:rsidRPr="0048581B">
        <w:rPr>
          <w:rFonts w:ascii="Cambria" w:hAnsi="Cambria" w:cs="Times New Roman"/>
          <w:color w:val="auto"/>
        </w:rPr>
        <w:t xml:space="preserve"> </w:t>
      </w:r>
      <w:r w:rsidRPr="0048581B">
        <w:rPr>
          <w:rFonts w:ascii="Cambria" w:hAnsi="Cambria" w:cs="Times New Roman"/>
          <w:color w:val="auto"/>
        </w:rPr>
        <w:t xml:space="preserve">annual reimbursement payment. </w:t>
      </w:r>
      <w:r w:rsidR="000C3C94">
        <w:rPr>
          <w:rFonts w:ascii="Cambria" w:hAnsi="Cambria" w:cs="Times New Roman"/>
          <w:color w:val="auto"/>
        </w:rPr>
        <w:t xml:space="preserve"> </w:t>
      </w:r>
      <w:r w:rsidR="008F68D1">
        <w:rPr>
          <w:rFonts w:ascii="Cambria" w:hAnsi="Cambria" w:cs="Times New Roman"/>
          <w:color w:val="auto"/>
        </w:rPr>
        <w:t xml:space="preserve"> </w:t>
      </w:r>
      <w:r w:rsidR="000C3C94">
        <w:rPr>
          <w:rFonts w:ascii="Cambria" w:hAnsi="Cambria" w:cs="Times New Roman"/>
          <w:color w:val="auto"/>
        </w:rPr>
        <w:t xml:space="preserve">We factored in the upfront payment in our annual percentage calculation. </w:t>
      </w:r>
      <w:r w:rsidR="008F68D1">
        <w:rPr>
          <w:rFonts w:ascii="Cambria" w:hAnsi="Cambria" w:cs="Times New Roman"/>
          <w:color w:val="auto"/>
        </w:rPr>
        <w:t xml:space="preserve"> C</w:t>
      </w:r>
      <w:r w:rsidR="000C3C94">
        <w:rPr>
          <w:rFonts w:ascii="Cambria" w:hAnsi="Cambria" w:cs="Times New Roman"/>
          <w:color w:val="auto"/>
        </w:rPr>
        <w:t>ompar</w:t>
      </w:r>
      <w:r w:rsidR="008F68D1">
        <w:rPr>
          <w:rFonts w:ascii="Cambria" w:hAnsi="Cambria" w:cs="Times New Roman"/>
          <w:color w:val="auto"/>
        </w:rPr>
        <w:t>ed</w:t>
      </w:r>
      <w:r w:rsidR="000C3C94">
        <w:rPr>
          <w:rFonts w:ascii="Cambria" w:hAnsi="Cambria" w:cs="Times New Roman"/>
          <w:color w:val="auto"/>
        </w:rPr>
        <w:t xml:space="preserve"> to </w:t>
      </w:r>
      <w:r w:rsidR="00231EE3">
        <w:rPr>
          <w:rFonts w:ascii="Cambria" w:hAnsi="Cambria" w:cs="Times New Roman"/>
          <w:color w:val="auto"/>
        </w:rPr>
        <w:t xml:space="preserve">the treatment of </w:t>
      </w:r>
      <w:r w:rsidR="000C3C94">
        <w:rPr>
          <w:rFonts w:ascii="Cambria" w:hAnsi="Cambria" w:cs="Times New Roman"/>
          <w:color w:val="auto"/>
        </w:rPr>
        <w:t xml:space="preserve">other </w:t>
      </w:r>
      <w:r w:rsidR="007E38B5">
        <w:rPr>
          <w:rFonts w:ascii="Cambria" w:hAnsi="Cambria" w:cs="Times New Roman"/>
          <w:color w:val="auto"/>
        </w:rPr>
        <w:t>Russian</w:t>
      </w:r>
      <w:r w:rsidR="000C3C94">
        <w:rPr>
          <w:rFonts w:ascii="Cambria" w:hAnsi="Cambria" w:cs="Times New Roman"/>
          <w:color w:val="auto"/>
        </w:rPr>
        <w:t xml:space="preserve"> companies, </w:t>
      </w:r>
      <w:r w:rsidR="008F68D1">
        <w:rPr>
          <w:rFonts w:ascii="Cambria" w:hAnsi="Cambria" w:cs="Times New Roman"/>
          <w:color w:val="auto"/>
        </w:rPr>
        <w:t xml:space="preserve">BNYM’s </w:t>
      </w:r>
      <w:r w:rsidR="000C3C94">
        <w:rPr>
          <w:rFonts w:ascii="Cambria" w:hAnsi="Cambria" w:cs="Times New Roman"/>
          <w:color w:val="auto"/>
        </w:rPr>
        <w:t>2009 proposal was far</w:t>
      </w:r>
      <w:r w:rsidR="007E38B5">
        <w:rPr>
          <w:rFonts w:ascii="Cambria" w:hAnsi="Cambria" w:cs="Times New Roman"/>
          <w:color w:val="auto"/>
        </w:rPr>
        <w:t xml:space="preserve"> below DR market standards. </w:t>
      </w:r>
      <w:r w:rsidR="008F68D1">
        <w:rPr>
          <w:rFonts w:ascii="Cambria" w:hAnsi="Cambria" w:cs="Times New Roman"/>
          <w:color w:val="auto"/>
        </w:rPr>
        <w:t xml:space="preserve"> </w:t>
      </w:r>
      <w:r w:rsidR="007E38B5">
        <w:rPr>
          <w:rFonts w:ascii="Cambria" w:hAnsi="Cambria" w:cs="Times New Roman"/>
          <w:color w:val="auto"/>
        </w:rPr>
        <w:t xml:space="preserve">Such unfavorable terms were agreed </w:t>
      </w:r>
      <w:r w:rsidR="00231EE3">
        <w:rPr>
          <w:rFonts w:ascii="Cambria" w:hAnsi="Cambria" w:cs="Times New Roman"/>
          <w:color w:val="auto"/>
        </w:rPr>
        <w:t xml:space="preserve">to </w:t>
      </w:r>
      <w:r w:rsidR="007E38B5">
        <w:rPr>
          <w:rFonts w:ascii="Cambria" w:hAnsi="Cambria" w:cs="Times New Roman"/>
          <w:color w:val="auto"/>
        </w:rPr>
        <w:t xml:space="preserve">due to </w:t>
      </w:r>
      <w:r w:rsidR="008F68D1">
        <w:rPr>
          <w:rFonts w:ascii="Cambria" w:hAnsi="Cambria" w:cs="Times New Roman"/>
          <w:color w:val="auto"/>
        </w:rPr>
        <w:t xml:space="preserve">an </w:t>
      </w:r>
      <w:r w:rsidR="007E38B5">
        <w:rPr>
          <w:rFonts w:ascii="Cambria" w:hAnsi="Cambria" w:cs="Times New Roman"/>
          <w:color w:val="auto"/>
        </w:rPr>
        <w:t xml:space="preserve">ongoing contested proxy at the company. </w:t>
      </w:r>
      <w:r w:rsidR="008F68D1">
        <w:rPr>
          <w:rFonts w:ascii="Cambria" w:hAnsi="Cambria" w:cs="Times New Roman"/>
          <w:color w:val="auto"/>
        </w:rPr>
        <w:t xml:space="preserve"> </w:t>
      </w:r>
      <w:r w:rsidR="007E38B5">
        <w:rPr>
          <w:rFonts w:ascii="Cambria" w:hAnsi="Cambria" w:cs="Times New Roman"/>
          <w:color w:val="auto"/>
        </w:rPr>
        <w:t>Under the old terms</w:t>
      </w:r>
      <w:r w:rsidR="008F68D1">
        <w:rPr>
          <w:rFonts w:ascii="Cambria" w:hAnsi="Cambria" w:cs="Times New Roman"/>
          <w:color w:val="auto"/>
        </w:rPr>
        <w:t>,</w:t>
      </w:r>
      <w:r w:rsidR="007E38B5">
        <w:rPr>
          <w:rFonts w:ascii="Cambria" w:hAnsi="Cambria" w:cs="Times New Roman"/>
          <w:color w:val="auto"/>
        </w:rPr>
        <w:t xml:space="preserve"> BNYM preformed many request</w:t>
      </w:r>
      <w:r w:rsidR="008F68D1">
        <w:rPr>
          <w:rFonts w:ascii="Cambria" w:hAnsi="Cambria" w:cs="Times New Roman"/>
          <w:color w:val="auto"/>
        </w:rPr>
        <w:t>s</w:t>
      </w:r>
      <w:r w:rsidR="007E38B5">
        <w:rPr>
          <w:rFonts w:ascii="Cambria" w:hAnsi="Cambria" w:cs="Times New Roman"/>
          <w:color w:val="auto"/>
        </w:rPr>
        <w:t xml:space="preserve"> generate</w:t>
      </w:r>
      <w:r w:rsidR="008F68D1">
        <w:rPr>
          <w:rFonts w:ascii="Cambria" w:hAnsi="Cambria" w:cs="Times New Roman"/>
          <w:color w:val="auto"/>
        </w:rPr>
        <w:t>d</w:t>
      </w:r>
      <w:r w:rsidR="007E38B5">
        <w:rPr>
          <w:rFonts w:ascii="Cambria" w:hAnsi="Cambria" w:cs="Times New Roman"/>
          <w:color w:val="auto"/>
        </w:rPr>
        <w:t xml:space="preserve"> by the company that were not a part of the official agreement. </w:t>
      </w:r>
    </w:p>
    <w:p w14:paraId="3FAD4B46" w14:textId="3C5B7DFB" w:rsidR="00E804B2" w:rsidRPr="00C33213" w:rsidRDefault="00E804B2" w:rsidP="00E804B2">
      <w:pPr>
        <w:jc w:val="both"/>
        <w:rPr>
          <w:rFonts w:ascii="Cambria" w:hAnsi="Cambria" w:cs="Times New Roman"/>
          <w:b/>
          <w:color w:val="FF0000"/>
          <w:sz w:val="28"/>
          <w:szCs w:val="28"/>
        </w:rPr>
      </w:pPr>
      <w:r w:rsidRPr="00C33213">
        <w:rPr>
          <w:rFonts w:ascii="Cambria" w:hAnsi="Cambria" w:cs="Times New Roman"/>
          <w:b/>
          <w:color w:val="FF0000"/>
          <w:sz w:val="28"/>
          <w:szCs w:val="28"/>
        </w:rPr>
        <w:t xml:space="preserve">BNYM </w:t>
      </w:r>
      <w:r w:rsidR="008F68D1">
        <w:rPr>
          <w:rFonts w:ascii="Cambria" w:hAnsi="Cambria" w:cs="Times New Roman"/>
          <w:b/>
          <w:color w:val="FF0000"/>
          <w:sz w:val="28"/>
          <w:szCs w:val="28"/>
        </w:rPr>
        <w:t>P</w:t>
      </w:r>
      <w:r w:rsidRPr="00C33213">
        <w:rPr>
          <w:rFonts w:ascii="Cambria" w:hAnsi="Cambria" w:cs="Times New Roman"/>
          <w:b/>
          <w:color w:val="FF0000"/>
          <w:sz w:val="28"/>
          <w:szCs w:val="28"/>
        </w:rPr>
        <w:t xml:space="preserve">roposal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BD3309" w:rsidRPr="000F5BC9" w14:paraId="542132AB" w14:textId="77777777" w:rsidTr="00546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2"/>
          </w:tcPr>
          <w:p w14:paraId="22488BA0" w14:textId="712D7D29" w:rsidR="00BD3309" w:rsidRPr="000F5BC9" w:rsidRDefault="00BD3309" w:rsidP="00BD3309">
            <w:pPr>
              <w:jc w:val="center"/>
              <w:rPr>
                <w:rFonts w:ascii="Cambria" w:hAnsi="Cambria" w:cs="Times New Roman"/>
                <w:b/>
                <w:color w:val="FF0000"/>
                <w:sz w:val="32"/>
                <w:szCs w:val="32"/>
              </w:rPr>
            </w:pPr>
            <w:r w:rsidRPr="000F5BC9">
              <w:rPr>
                <w:rFonts w:ascii="Cambria" w:hAnsi="Cambria" w:cs="Times New Roman"/>
                <w:b/>
                <w:color w:val="FF0000"/>
                <w:sz w:val="32"/>
                <w:szCs w:val="32"/>
              </w:rPr>
              <w:t>Financial Section</w:t>
            </w:r>
          </w:p>
        </w:tc>
      </w:tr>
      <w:tr w:rsidR="00BD3309" w14:paraId="6BBECB08" w14:textId="77777777" w:rsidTr="00BD3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18A1B725" w14:textId="4EAF4CEF" w:rsidR="00BD3309" w:rsidRDefault="000F5BC9" w:rsidP="00E804B2">
            <w:pPr>
              <w:jc w:val="both"/>
              <w:rPr>
                <w:rFonts w:ascii="Cambria" w:hAnsi="Cambria" w:cs="Times New Roman"/>
                <w:color w:val="auto"/>
              </w:rPr>
            </w:pPr>
            <w:r>
              <w:rPr>
                <w:rFonts w:ascii="Cambria" w:hAnsi="Cambria"/>
                <w:noProof/>
                <w:color w:val="FF0000"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36275906" wp14:editId="1E8EF9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-2494280</wp:posOffset>
                      </wp:positionV>
                      <wp:extent cx="571500" cy="403225"/>
                      <wp:effectExtent l="0" t="0" r="12700" b="53975"/>
                      <wp:wrapThrough wrapText="bothSides">
                        <wp:wrapPolygon edited="0">
                          <wp:start x="6720" y="1361"/>
                          <wp:lineTo x="1920" y="10885"/>
                          <wp:lineTo x="1920" y="17688"/>
                          <wp:lineTo x="6720" y="23131"/>
                          <wp:lineTo x="15360" y="23131"/>
                          <wp:lineTo x="21120" y="19049"/>
                          <wp:lineTo x="21120" y="9524"/>
                          <wp:lineTo x="15360" y="1361"/>
                          <wp:lineTo x="6720" y="1361"/>
                        </wp:wrapPolygon>
                      </wp:wrapThrough>
                      <wp:docPr id="16" name="Plu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032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ED1C24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Plus 16" o:spid="_x0000_s1026" style="position:absolute;margin-left:102pt;margin-top:-196.35pt;width:45pt;height:31.75pt;z-index:25206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71500,403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" path="m75752,154193l238331,154193,238331,53447,333169,53447,333169,154193,495748,154193,495748,249032,333169,249032,333169,349778,238331,349778,238331,249032,75752,249032,75752,154193xe" fillcolor="#ed1c24" strokecolor="#4579b8 [3044]">
                      <v:shadow on="t" opacity="22937f" mv:blur="40000f" origin=",.5" offset="0,23000emu"/>
                      <v:path arrowok="t" o:connecttype="custom" o:connectlocs="75752,154193;238331,154193;238331,53447;333169,53447;333169,154193;495748,154193;495748,249032;333169,249032;333169,349778;238331,349778;238331,249032;75752,249032;75752,154193" o:connectangles="0,0,0,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5220" w:type="dxa"/>
          </w:tcPr>
          <w:p w14:paraId="0EFBC4EF" w14:textId="468A3E73" w:rsidR="00BD3309" w:rsidRDefault="000F5BC9" w:rsidP="00E804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</w:rPr>
            </w:pPr>
            <w:r>
              <w:rPr>
                <w:rFonts w:ascii="Cambria" w:hAnsi="Cambria"/>
                <w:noProof/>
                <w:color w:val="FF0000"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08AA79B" wp14:editId="638363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-635</wp:posOffset>
                      </wp:positionV>
                      <wp:extent cx="800100" cy="340995"/>
                      <wp:effectExtent l="0" t="0" r="0" b="0"/>
                      <wp:wrapThrough wrapText="bothSides">
                        <wp:wrapPolygon edited="0">
                          <wp:start x="1371" y="6436"/>
                          <wp:lineTo x="1371" y="17698"/>
                          <wp:lineTo x="20571" y="17698"/>
                          <wp:lineTo x="20571" y="6436"/>
                          <wp:lineTo x="1371" y="6436"/>
                        </wp:wrapPolygon>
                      </wp:wrapThrough>
                      <wp:docPr id="17" name="Minu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40995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ED1C24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Minus 17" o:spid="_x0000_s1026" style="position:absolute;margin-left:102pt;margin-top:0;width:63pt;height:26.85pt;z-index:25206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00100,3409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" path="m106053,130396l694047,130396,694047,210599,106053,210599,106053,130396xe" fillcolor="#ed1c24" strokecolor="#4579b8 [3044]">
                      <v:shadow on="t" opacity="22937f" mv:blur="40000f" origin=",.5" offset="0,23000emu"/>
                      <v:path arrowok="t" o:connecttype="custom" o:connectlocs="106053,130396;694047,130396;694047,210599;106053,210599;106053,130396" o:connectangles="0,0,0,0,0"/>
                      <w10:wrap type="through"/>
                    </v:shape>
                  </w:pict>
                </mc:Fallback>
              </mc:AlternateContent>
            </w:r>
          </w:p>
        </w:tc>
      </w:tr>
      <w:tr w:rsidR="00BD3309" w14:paraId="2CE04FCC" w14:textId="77777777" w:rsidTr="00BD33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32DC608F" w14:textId="1CFCE81F" w:rsidR="00BD3309" w:rsidRPr="007E38B5" w:rsidRDefault="00BD3309" w:rsidP="00E804B2">
            <w:pPr>
              <w:jc w:val="both"/>
              <w:rPr>
                <w:rFonts w:ascii="Cambria" w:hAnsi="Cambria" w:cs="Times New Roman"/>
                <w:b/>
                <w:color w:val="auto"/>
                <w:u w:val="single"/>
              </w:rPr>
            </w:pPr>
            <w:r w:rsidRPr="007E38B5">
              <w:rPr>
                <w:rFonts w:ascii="Cambria" w:hAnsi="Cambria" w:cs="Times New Roman"/>
                <w:b/>
                <w:color w:val="auto"/>
                <w:u w:val="single"/>
              </w:rPr>
              <w:t>Reimbursement</w:t>
            </w:r>
            <w:r w:rsidR="007E38B5" w:rsidRPr="007E38B5">
              <w:rPr>
                <w:rFonts w:ascii="Cambria" w:hAnsi="Cambria" w:cs="Times New Roman"/>
                <w:b/>
                <w:color w:val="auto"/>
                <w:u w:val="single"/>
              </w:rPr>
              <w:t xml:space="preserve"> </w:t>
            </w:r>
            <w:r w:rsidR="003436B7">
              <w:rPr>
                <w:rFonts w:ascii="Cambria" w:hAnsi="Cambria" w:cs="Times New Roman"/>
                <w:b/>
                <w:color w:val="auto"/>
                <w:u w:val="single"/>
              </w:rPr>
              <w:t>(R</w:t>
            </w:r>
            <w:r w:rsidR="007E38B5" w:rsidRPr="007E38B5">
              <w:rPr>
                <w:rFonts w:ascii="Cambria" w:hAnsi="Cambria" w:cs="Times New Roman"/>
                <w:b/>
                <w:color w:val="auto"/>
                <w:u w:val="single"/>
              </w:rPr>
              <w:t>evenue</w:t>
            </w:r>
            <w:r w:rsidR="008F68D1">
              <w:rPr>
                <w:rFonts w:ascii="Cambria" w:hAnsi="Cambria" w:cs="Times New Roman"/>
                <w:b/>
                <w:color w:val="auto"/>
                <w:u w:val="single"/>
              </w:rPr>
              <w:t>-</w:t>
            </w:r>
            <w:r w:rsidR="007E38B5" w:rsidRPr="007E38B5">
              <w:rPr>
                <w:rFonts w:ascii="Cambria" w:hAnsi="Cambria" w:cs="Times New Roman"/>
                <w:b/>
                <w:color w:val="auto"/>
                <w:u w:val="single"/>
              </w:rPr>
              <w:t>sharing mode</w:t>
            </w:r>
            <w:r w:rsidR="003436B7">
              <w:rPr>
                <w:rFonts w:ascii="Cambria" w:hAnsi="Cambria" w:cs="Times New Roman"/>
                <w:b/>
                <w:color w:val="auto"/>
                <w:u w:val="single"/>
              </w:rPr>
              <w:t>l)</w:t>
            </w:r>
            <w:r w:rsidRPr="007E38B5">
              <w:rPr>
                <w:rFonts w:ascii="Cambria" w:hAnsi="Cambria" w:cs="Times New Roman"/>
                <w:b/>
                <w:color w:val="auto"/>
                <w:u w:val="single"/>
              </w:rPr>
              <w:t xml:space="preserve">: </w:t>
            </w:r>
          </w:p>
          <w:p w14:paraId="117FD351" w14:textId="6E819271" w:rsidR="00BD3309" w:rsidRDefault="000F5BC9" w:rsidP="00E804B2">
            <w:pPr>
              <w:jc w:val="both"/>
              <w:rPr>
                <w:rFonts w:ascii="Cambria" w:hAnsi="Cambria" w:cs="Times New Roman"/>
                <w:color w:val="auto"/>
              </w:rPr>
            </w:pPr>
            <w:r>
              <w:rPr>
                <w:rFonts w:ascii="Cambria" w:hAnsi="Cambria" w:cs="Times New Roman"/>
                <w:color w:val="auto"/>
              </w:rPr>
              <w:t xml:space="preserve">BNYM agrees to reimburse the company up to </w:t>
            </w:r>
            <w:r w:rsidR="00BD3309">
              <w:rPr>
                <w:rFonts w:ascii="Cambria" w:hAnsi="Cambria" w:cs="Times New Roman"/>
                <w:color w:val="auto"/>
              </w:rPr>
              <w:lastRenderedPageBreak/>
              <w:t>80%</w:t>
            </w:r>
            <w:r>
              <w:rPr>
                <w:rFonts w:ascii="Cambria" w:hAnsi="Cambria" w:cs="Times New Roman"/>
                <w:color w:val="auto"/>
              </w:rPr>
              <w:t xml:space="preserve"> of its g</w:t>
            </w:r>
            <w:r w:rsidR="00BD3309">
              <w:rPr>
                <w:rFonts w:ascii="Cambria" w:hAnsi="Cambria" w:cs="Times New Roman"/>
                <w:color w:val="auto"/>
              </w:rPr>
              <w:t>ross revenue</w:t>
            </w:r>
            <w:r>
              <w:rPr>
                <w:rFonts w:ascii="Cambria" w:hAnsi="Cambria" w:cs="Times New Roman"/>
                <w:color w:val="auto"/>
              </w:rPr>
              <w:t xml:space="preserve">. </w:t>
            </w:r>
            <w:r w:rsidR="00BD3309">
              <w:rPr>
                <w:rFonts w:ascii="Cambria" w:hAnsi="Cambria" w:cs="Times New Roman"/>
                <w:color w:val="auto"/>
              </w:rPr>
              <w:t xml:space="preserve"> </w:t>
            </w:r>
          </w:p>
        </w:tc>
        <w:tc>
          <w:tcPr>
            <w:tcW w:w="5220" w:type="dxa"/>
          </w:tcPr>
          <w:p w14:paraId="7956389D" w14:textId="2D61A0E4" w:rsidR="003436B7" w:rsidRDefault="003436B7" w:rsidP="007E38B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u w:val="single"/>
              </w:rPr>
            </w:pPr>
            <w:r w:rsidRPr="007E38B5">
              <w:rPr>
                <w:rFonts w:ascii="Cambria" w:hAnsi="Cambria" w:cs="Times New Roman"/>
                <w:b/>
                <w:color w:val="auto"/>
                <w:u w:val="single"/>
              </w:rPr>
              <w:lastRenderedPageBreak/>
              <w:t xml:space="preserve">Reimbursement </w:t>
            </w:r>
            <w:r>
              <w:rPr>
                <w:rFonts w:ascii="Cambria" w:hAnsi="Cambria" w:cs="Times New Roman"/>
                <w:b/>
                <w:color w:val="auto"/>
                <w:u w:val="single"/>
              </w:rPr>
              <w:t>(R</w:t>
            </w:r>
            <w:r w:rsidRPr="007E38B5">
              <w:rPr>
                <w:rFonts w:ascii="Cambria" w:hAnsi="Cambria" w:cs="Times New Roman"/>
                <w:b/>
                <w:color w:val="auto"/>
                <w:u w:val="single"/>
              </w:rPr>
              <w:t>evenue</w:t>
            </w:r>
            <w:r w:rsidR="008F68D1">
              <w:rPr>
                <w:rFonts w:ascii="Cambria" w:hAnsi="Cambria" w:cs="Times New Roman"/>
                <w:b/>
                <w:color w:val="auto"/>
                <w:u w:val="single"/>
              </w:rPr>
              <w:t>-</w:t>
            </w:r>
            <w:r w:rsidRPr="007E38B5">
              <w:rPr>
                <w:rFonts w:ascii="Cambria" w:hAnsi="Cambria" w:cs="Times New Roman"/>
                <w:b/>
                <w:color w:val="auto"/>
                <w:u w:val="single"/>
              </w:rPr>
              <w:t>sharing mode</w:t>
            </w:r>
            <w:r>
              <w:rPr>
                <w:rFonts w:ascii="Cambria" w:hAnsi="Cambria" w:cs="Times New Roman"/>
                <w:b/>
                <w:color w:val="auto"/>
                <w:u w:val="single"/>
              </w:rPr>
              <w:t>l)</w:t>
            </w:r>
            <w:r w:rsidRPr="007E38B5">
              <w:rPr>
                <w:rFonts w:ascii="Cambria" w:hAnsi="Cambria" w:cs="Times New Roman"/>
                <w:b/>
                <w:color w:val="auto"/>
                <w:u w:val="single"/>
              </w:rPr>
              <w:t xml:space="preserve">: </w:t>
            </w:r>
          </w:p>
          <w:p w14:paraId="6FDA82FE" w14:textId="05B71E0E" w:rsidR="00BD3309" w:rsidRDefault="007E38B5" w:rsidP="00C518A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="Times New Roman"/>
                <w:b/>
                <w:iCs/>
                <w:color w:val="auto"/>
                <w:spacing w:val="15"/>
                <w:szCs w:val="24"/>
              </w:rPr>
            </w:pPr>
            <w:r>
              <w:rPr>
                <w:rFonts w:ascii="Cambria" w:hAnsi="Cambria" w:cs="Times New Roman"/>
                <w:color w:val="auto"/>
              </w:rPr>
              <w:t xml:space="preserve">BNYM’s revenue to be derived from issuance </w:t>
            </w:r>
            <w:r>
              <w:rPr>
                <w:rFonts w:ascii="Cambria" w:hAnsi="Cambria" w:cs="Times New Roman"/>
                <w:color w:val="auto"/>
              </w:rPr>
              <w:lastRenderedPageBreak/>
              <w:t xml:space="preserve">and cancelation activities will NOT be factored in </w:t>
            </w:r>
            <w:r w:rsidR="008F68D1">
              <w:rPr>
                <w:rFonts w:ascii="Cambria" w:hAnsi="Cambria" w:cs="Times New Roman"/>
                <w:color w:val="auto"/>
              </w:rPr>
              <w:t xml:space="preserve">as part of </w:t>
            </w:r>
            <w:r>
              <w:rPr>
                <w:rFonts w:ascii="Cambria" w:hAnsi="Cambria" w:cs="Times New Roman"/>
                <w:color w:val="auto"/>
              </w:rPr>
              <w:t xml:space="preserve">the reimbursement calculation. BNYM will keep that part of the revenue for </w:t>
            </w:r>
            <w:r w:rsidR="008F68D1">
              <w:rPr>
                <w:rFonts w:ascii="Cambria" w:hAnsi="Cambria" w:cs="Times New Roman"/>
                <w:color w:val="auto"/>
              </w:rPr>
              <w:t xml:space="preserve">itself </w:t>
            </w:r>
            <w:r>
              <w:rPr>
                <w:rFonts w:ascii="Cambria" w:hAnsi="Cambria" w:cs="Times New Roman"/>
                <w:color w:val="auto"/>
              </w:rPr>
              <w:t xml:space="preserve">without sharing it with the company. </w:t>
            </w:r>
          </w:p>
        </w:tc>
      </w:tr>
      <w:tr w:rsidR="00BD3309" w14:paraId="52031229" w14:textId="77777777" w:rsidTr="00BD3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352DF4B1" w14:textId="77777777" w:rsidR="00BD3309" w:rsidRPr="007E38B5" w:rsidRDefault="00BD3309" w:rsidP="00E804B2">
            <w:pPr>
              <w:jc w:val="both"/>
              <w:rPr>
                <w:rFonts w:ascii="Cambria" w:hAnsi="Cambria" w:cs="Times New Roman"/>
                <w:b/>
                <w:color w:val="auto"/>
                <w:u w:val="single"/>
              </w:rPr>
            </w:pPr>
            <w:r w:rsidRPr="007E38B5">
              <w:rPr>
                <w:rFonts w:ascii="Cambria" w:hAnsi="Cambria" w:cs="Times New Roman"/>
                <w:b/>
                <w:color w:val="auto"/>
                <w:u w:val="single"/>
              </w:rPr>
              <w:lastRenderedPageBreak/>
              <w:t xml:space="preserve">Upfront reimbursement: </w:t>
            </w:r>
          </w:p>
          <w:p w14:paraId="346212F6" w14:textId="7BDBECF6" w:rsidR="00BD3309" w:rsidRDefault="00BD3309" w:rsidP="00E804B2">
            <w:pPr>
              <w:jc w:val="both"/>
              <w:rPr>
                <w:rFonts w:ascii="Cambria" w:hAnsi="Cambria" w:cs="Times New Roman"/>
                <w:color w:val="auto"/>
              </w:rPr>
            </w:pPr>
            <w:r>
              <w:rPr>
                <w:rFonts w:ascii="Cambria" w:hAnsi="Cambria" w:cs="Times New Roman"/>
                <w:color w:val="auto"/>
              </w:rPr>
              <w:t>Yes, $10,000,000</w:t>
            </w:r>
            <w:r w:rsidR="000F5BC9">
              <w:rPr>
                <w:rFonts w:ascii="Cambria" w:hAnsi="Cambria" w:cs="Times New Roman"/>
                <w:color w:val="auto"/>
              </w:rPr>
              <w:t xml:space="preserve"> (Flexible terms)</w:t>
            </w:r>
          </w:p>
        </w:tc>
        <w:tc>
          <w:tcPr>
            <w:tcW w:w="5220" w:type="dxa"/>
          </w:tcPr>
          <w:p w14:paraId="24B8CCC7" w14:textId="77777777" w:rsidR="007E38B5" w:rsidRPr="007E38B5" w:rsidRDefault="007E38B5" w:rsidP="007E38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u w:val="single"/>
              </w:rPr>
            </w:pPr>
            <w:r w:rsidRPr="007E38B5">
              <w:rPr>
                <w:rFonts w:ascii="Cambria" w:hAnsi="Cambria" w:cs="Times New Roman"/>
                <w:b/>
                <w:color w:val="auto"/>
                <w:u w:val="single"/>
              </w:rPr>
              <w:t xml:space="preserve">Upfront reimbursement: </w:t>
            </w:r>
          </w:p>
          <w:p w14:paraId="317E36A4" w14:textId="5D08A7B2" w:rsidR="00BD3309" w:rsidRDefault="007E38B5" w:rsidP="00E804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</w:rPr>
            </w:pPr>
            <w:r>
              <w:rPr>
                <w:rFonts w:ascii="Cambria" w:hAnsi="Cambria" w:cs="Times New Roman"/>
                <w:color w:val="auto"/>
              </w:rPr>
              <w:t xml:space="preserve">We suggest that the company maximize the upfront payment due to </w:t>
            </w:r>
            <w:r w:rsidR="0079799B">
              <w:rPr>
                <w:rFonts w:ascii="Cambria" w:hAnsi="Cambria" w:cs="Times New Roman"/>
                <w:color w:val="auto"/>
              </w:rPr>
              <w:t>the discounted cash flow (</w:t>
            </w:r>
            <w:r>
              <w:rPr>
                <w:rFonts w:ascii="Cambria" w:hAnsi="Cambria" w:cs="Times New Roman"/>
                <w:color w:val="auto"/>
              </w:rPr>
              <w:t>DCF</w:t>
            </w:r>
            <w:r w:rsidR="0079799B">
              <w:rPr>
                <w:rFonts w:ascii="Cambria" w:hAnsi="Cambria" w:cs="Times New Roman"/>
                <w:color w:val="auto"/>
              </w:rPr>
              <w:t>)</w:t>
            </w:r>
            <w:r>
              <w:rPr>
                <w:rFonts w:ascii="Cambria" w:hAnsi="Cambria" w:cs="Times New Roman"/>
                <w:color w:val="auto"/>
              </w:rPr>
              <w:t xml:space="preserve"> model. </w:t>
            </w:r>
            <w:r w:rsidR="0079799B">
              <w:rPr>
                <w:rFonts w:ascii="Cambria" w:hAnsi="Cambria" w:cs="Times New Roman"/>
                <w:color w:val="auto"/>
              </w:rPr>
              <w:t xml:space="preserve"> The f</w:t>
            </w:r>
            <w:r>
              <w:rPr>
                <w:rFonts w:ascii="Cambria" w:hAnsi="Cambria" w:cs="Times New Roman"/>
                <w:color w:val="auto"/>
              </w:rPr>
              <w:t>uture value of the ongoing reimbursement will be discounted by ______</w:t>
            </w:r>
            <w:r w:rsidR="0079799B">
              <w:rPr>
                <w:rFonts w:ascii="Cambria" w:hAnsi="Cambria" w:cs="Times New Roman"/>
                <w:color w:val="auto"/>
              </w:rPr>
              <w:t>.</w:t>
            </w:r>
          </w:p>
        </w:tc>
      </w:tr>
      <w:tr w:rsidR="00BD3309" w14:paraId="43E8A866" w14:textId="77777777" w:rsidTr="00BD33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3F54308A" w14:textId="750E3496" w:rsidR="00BD3309" w:rsidRPr="007E38B5" w:rsidRDefault="00BD3309" w:rsidP="00E804B2">
            <w:pPr>
              <w:jc w:val="both"/>
              <w:rPr>
                <w:rFonts w:ascii="Cambria" w:hAnsi="Cambria" w:cs="Times New Roman"/>
                <w:b/>
                <w:color w:val="auto"/>
                <w:u w:val="single"/>
              </w:rPr>
            </w:pPr>
            <w:r w:rsidRPr="007E38B5">
              <w:rPr>
                <w:rFonts w:ascii="Cambria" w:hAnsi="Cambria" w:cs="Times New Roman"/>
                <w:b/>
                <w:color w:val="auto"/>
                <w:u w:val="single"/>
              </w:rPr>
              <w:t>Discount to Strategic Sh</w:t>
            </w:r>
            <w:r w:rsidR="000F5BC9" w:rsidRPr="007E38B5">
              <w:rPr>
                <w:rFonts w:ascii="Cambria" w:hAnsi="Cambria" w:cs="Times New Roman"/>
                <w:b/>
                <w:color w:val="auto"/>
                <w:u w:val="single"/>
              </w:rPr>
              <w:t xml:space="preserve">areholders: </w:t>
            </w:r>
          </w:p>
          <w:p w14:paraId="1EEB948A" w14:textId="5E044DD7" w:rsidR="000F5BC9" w:rsidRPr="000F5BC9" w:rsidRDefault="000F5BC9" w:rsidP="000F5BC9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Cambria" w:hAnsi="Cambria" w:cs="Times New Roman"/>
                <w:color w:val="auto"/>
              </w:rPr>
            </w:pPr>
            <w:r w:rsidRPr="000F5BC9">
              <w:rPr>
                <w:rFonts w:ascii="Cambria" w:hAnsi="Cambria" w:cs="Times New Roman"/>
                <w:color w:val="auto"/>
              </w:rPr>
              <w:t>Strategic shareholders will be excluded from dividend fees related to interim dividends</w:t>
            </w:r>
            <w:r w:rsidR="0079799B">
              <w:rPr>
                <w:rFonts w:ascii="Cambria" w:hAnsi="Cambria" w:cs="Times New Roman"/>
                <w:color w:val="auto"/>
              </w:rPr>
              <w:t>.</w:t>
            </w:r>
            <w:r w:rsidRPr="000F5BC9">
              <w:rPr>
                <w:rFonts w:ascii="Cambria" w:hAnsi="Cambria" w:cs="Times New Roman"/>
                <w:color w:val="auto"/>
              </w:rPr>
              <w:t xml:space="preserve"> </w:t>
            </w:r>
          </w:p>
          <w:p w14:paraId="20659B94" w14:textId="610B15CA" w:rsidR="000F5BC9" w:rsidRDefault="000F5BC9" w:rsidP="000F5BC9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Cambria" w:hAnsi="Cambria" w:cs="Times New Roman"/>
                <w:color w:val="auto"/>
              </w:rPr>
            </w:pPr>
            <w:r>
              <w:rPr>
                <w:rFonts w:ascii="Cambria" w:hAnsi="Cambria" w:cs="Times New Roman"/>
                <w:color w:val="auto"/>
              </w:rPr>
              <w:t xml:space="preserve">Strategic shareholders will be charged a fee of </w:t>
            </w:r>
            <w:r w:rsidR="0079799B">
              <w:rPr>
                <w:rFonts w:ascii="Cambria" w:hAnsi="Cambria" w:cs="Times New Roman"/>
                <w:color w:val="auto"/>
              </w:rPr>
              <w:t>$</w:t>
            </w:r>
            <w:r>
              <w:rPr>
                <w:rFonts w:ascii="Cambria" w:hAnsi="Cambria" w:cs="Times New Roman"/>
                <w:color w:val="auto"/>
              </w:rPr>
              <w:t>0</w:t>
            </w:r>
            <w:r w:rsidR="0079799B">
              <w:rPr>
                <w:rFonts w:ascii="Cambria" w:hAnsi="Cambria" w:cs="Times New Roman"/>
                <w:color w:val="auto"/>
              </w:rPr>
              <w:t>.</w:t>
            </w:r>
            <w:r>
              <w:rPr>
                <w:rFonts w:ascii="Cambria" w:hAnsi="Cambria" w:cs="Times New Roman"/>
                <w:color w:val="auto"/>
              </w:rPr>
              <w:t>01 per DR on an annual dividend</w:t>
            </w:r>
            <w:r w:rsidR="0079799B">
              <w:rPr>
                <w:rFonts w:ascii="Cambria" w:hAnsi="Cambria" w:cs="Times New Roman"/>
                <w:color w:val="auto"/>
              </w:rPr>
              <w:t>.</w:t>
            </w:r>
          </w:p>
          <w:p w14:paraId="1F88C893" w14:textId="014FCB04" w:rsidR="000F5BC9" w:rsidRDefault="000F5BC9" w:rsidP="000F5BC9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Cambria" w:hAnsi="Cambria" w:cs="Times New Roman"/>
                <w:color w:val="auto"/>
              </w:rPr>
            </w:pPr>
            <w:r>
              <w:rPr>
                <w:rFonts w:ascii="Cambria" w:hAnsi="Cambria" w:cs="Times New Roman"/>
                <w:color w:val="auto"/>
              </w:rPr>
              <w:t>Strategic shareholders will be charged a fee of $0</w:t>
            </w:r>
            <w:r w:rsidR="0079799B">
              <w:rPr>
                <w:rFonts w:ascii="Cambria" w:hAnsi="Cambria" w:cs="Times New Roman"/>
                <w:color w:val="auto"/>
              </w:rPr>
              <w:t>.</w:t>
            </w:r>
            <w:r>
              <w:rPr>
                <w:rFonts w:ascii="Cambria" w:hAnsi="Cambria" w:cs="Times New Roman"/>
                <w:color w:val="auto"/>
              </w:rPr>
              <w:t>01 per DR on D</w:t>
            </w:r>
            <w:r w:rsidR="00231EE3">
              <w:rPr>
                <w:rFonts w:ascii="Cambria" w:hAnsi="Cambria" w:cs="Times New Roman"/>
                <w:color w:val="auto"/>
              </w:rPr>
              <w:t xml:space="preserve">epositary </w:t>
            </w:r>
            <w:r>
              <w:rPr>
                <w:rFonts w:ascii="Cambria" w:hAnsi="Cambria" w:cs="Times New Roman"/>
                <w:color w:val="auto"/>
              </w:rPr>
              <w:t>S</w:t>
            </w:r>
            <w:r w:rsidR="00231EE3">
              <w:rPr>
                <w:rFonts w:ascii="Cambria" w:hAnsi="Cambria" w:cs="Times New Roman"/>
                <w:color w:val="auto"/>
              </w:rPr>
              <w:t xml:space="preserve">ervice </w:t>
            </w:r>
            <w:r>
              <w:rPr>
                <w:rFonts w:ascii="Cambria" w:hAnsi="Cambria" w:cs="Times New Roman"/>
                <w:color w:val="auto"/>
              </w:rPr>
              <w:t>F</w:t>
            </w:r>
            <w:r w:rsidR="00231EE3">
              <w:rPr>
                <w:rFonts w:ascii="Cambria" w:hAnsi="Cambria" w:cs="Times New Roman"/>
                <w:color w:val="auto"/>
              </w:rPr>
              <w:t>ees</w:t>
            </w:r>
            <w:r w:rsidR="0079799B">
              <w:rPr>
                <w:rFonts w:ascii="Cambria" w:hAnsi="Cambria" w:cs="Times New Roman"/>
                <w:color w:val="auto"/>
              </w:rPr>
              <w:t>.</w:t>
            </w:r>
            <w:r>
              <w:rPr>
                <w:rFonts w:ascii="Cambria" w:hAnsi="Cambria" w:cs="Times New Roman"/>
                <w:color w:val="auto"/>
              </w:rPr>
              <w:t xml:space="preserve"> </w:t>
            </w:r>
          </w:p>
          <w:p w14:paraId="4FFC681E" w14:textId="51457BD7" w:rsidR="000F5BC9" w:rsidRPr="000F5BC9" w:rsidRDefault="000F5BC9" w:rsidP="000F5BC9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Cambria" w:hAnsi="Cambria" w:cs="Times New Roman"/>
                <w:color w:val="auto"/>
              </w:rPr>
            </w:pPr>
            <w:r>
              <w:rPr>
                <w:rFonts w:ascii="Cambria" w:hAnsi="Cambria" w:cs="Times New Roman"/>
                <w:color w:val="auto"/>
              </w:rPr>
              <w:t xml:space="preserve">Strategic shareholders will be excluded from tax reclamation fees.  </w:t>
            </w:r>
          </w:p>
        </w:tc>
        <w:tc>
          <w:tcPr>
            <w:tcW w:w="5220" w:type="dxa"/>
          </w:tcPr>
          <w:p w14:paraId="35C32A4D" w14:textId="25C8CA6A" w:rsidR="007E38B5" w:rsidRPr="007E38B5" w:rsidRDefault="007E38B5" w:rsidP="005469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u w:val="single"/>
              </w:rPr>
            </w:pPr>
            <w:r w:rsidRPr="007E38B5">
              <w:rPr>
                <w:rFonts w:ascii="Cambria" w:hAnsi="Cambria" w:cs="Times New Roman"/>
                <w:b/>
                <w:color w:val="auto"/>
                <w:u w:val="single"/>
              </w:rPr>
              <w:t xml:space="preserve">Discount to Strategic Shareholders: </w:t>
            </w:r>
          </w:p>
          <w:p w14:paraId="213330ED" w14:textId="1C26622D" w:rsidR="00BD3309" w:rsidRDefault="00546971" w:rsidP="00C518A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="Times New Roman"/>
                <w:b/>
                <w:iCs/>
                <w:color w:val="auto"/>
                <w:spacing w:val="15"/>
                <w:szCs w:val="24"/>
              </w:rPr>
            </w:pPr>
            <w:r>
              <w:rPr>
                <w:rFonts w:ascii="Cambria" w:hAnsi="Cambria" w:cs="Times New Roman"/>
                <w:color w:val="auto"/>
              </w:rPr>
              <w:t xml:space="preserve">Although BNYM agrees to extend a discount to </w:t>
            </w:r>
            <w:r w:rsidR="009C12A5">
              <w:rPr>
                <w:rFonts w:ascii="Cambria" w:hAnsi="Cambria"/>
                <w:color w:val="auto"/>
              </w:rPr>
              <w:t xml:space="preserve">Norilsk Nickel’s </w:t>
            </w:r>
            <w:r>
              <w:rPr>
                <w:rFonts w:ascii="Cambria" w:hAnsi="Cambria" w:cs="Times New Roman"/>
                <w:color w:val="auto"/>
              </w:rPr>
              <w:t xml:space="preserve">strategic shareholders, </w:t>
            </w:r>
            <w:r w:rsidR="00231EE3">
              <w:rPr>
                <w:rFonts w:ascii="Cambria" w:hAnsi="Cambria" w:cs="Times New Roman"/>
                <w:color w:val="auto"/>
              </w:rPr>
              <w:t xml:space="preserve">it will charge </w:t>
            </w:r>
            <w:r>
              <w:rPr>
                <w:rFonts w:ascii="Cambria" w:hAnsi="Cambria" w:cs="Times New Roman"/>
                <w:color w:val="auto"/>
              </w:rPr>
              <w:t xml:space="preserve">a depositary fee </w:t>
            </w:r>
            <w:r w:rsidR="0079799B">
              <w:rPr>
                <w:rFonts w:ascii="Cambria" w:hAnsi="Cambria" w:cs="Times New Roman"/>
                <w:color w:val="auto"/>
              </w:rPr>
              <w:t xml:space="preserve">against </w:t>
            </w:r>
            <w:r>
              <w:rPr>
                <w:rFonts w:ascii="Cambria" w:hAnsi="Cambria" w:cs="Times New Roman"/>
                <w:color w:val="auto"/>
              </w:rPr>
              <w:t xml:space="preserve">their DR positions. </w:t>
            </w:r>
            <w:r w:rsidR="00C33213">
              <w:rPr>
                <w:rFonts w:ascii="Cambria" w:hAnsi="Cambria" w:cs="Times New Roman"/>
                <w:color w:val="auto"/>
              </w:rPr>
              <w:t xml:space="preserve">Overall, </w:t>
            </w:r>
            <w:r w:rsidR="0079799B">
              <w:rPr>
                <w:rFonts w:ascii="Cambria" w:hAnsi="Cambria" w:cs="Times New Roman"/>
                <w:color w:val="auto"/>
              </w:rPr>
              <w:t xml:space="preserve">Deutsche </w:t>
            </w:r>
            <w:r w:rsidR="00C33213">
              <w:rPr>
                <w:rFonts w:ascii="Cambria" w:hAnsi="Cambria" w:cs="Times New Roman"/>
                <w:color w:val="auto"/>
              </w:rPr>
              <w:t>B</w:t>
            </w:r>
            <w:r w:rsidR="0079799B">
              <w:rPr>
                <w:rFonts w:ascii="Cambria" w:hAnsi="Cambria" w:cs="Times New Roman"/>
                <w:color w:val="auto"/>
              </w:rPr>
              <w:t>ank</w:t>
            </w:r>
            <w:r w:rsidR="00C33213">
              <w:rPr>
                <w:rFonts w:ascii="Cambria" w:hAnsi="Cambria" w:cs="Times New Roman"/>
                <w:color w:val="auto"/>
              </w:rPr>
              <w:t xml:space="preserve"> agrees </w:t>
            </w:r>
            <w:r w:rsidR="0079799B">
              <w:rPr>
                <w:rFonts w:ascii="Cambria" w:hAnsi="Cambria" w:cs="Times New Roman"/>
                <w:color w:val="auto"/>
              </w:rPr>
              <w:t>not to</w:t>
            </w:r>
            <w:r w:rsidR="00C33213">
              <w:rPr>
                <w:rFonts w:ascii="Cambria" w:hAnsi="Cambria" w:cs="Times New Roman"/>
                <w:color w:val="auto"/>
              </w:rPr>
              <w:t xml:space="preserve"> charg</w:t>
            </w:r>
            <w:r w:rsidR="0079799B">
              <w:rPr>
                <w:rFonts w:ascii="Cambria" w:hAnsi="Cambria" w:cs="Times New Roman"/>
                <w:color w:val="auto"/>
              </w:rPr>
              <w:t>e</w:t>
            </w:r>
            <w:r w:rsidR="00C33213">
              <w:rPr>
                <w:rFonts w:ascii="Cambria" w:hAnsi="Cambria" w:cs="Times New Roman"/>
                <w:color w:val="auto"/>
              </w:rPr>
              <w:t xml:space="preserve"> its DR fees </w:t>
            </w:r>
            <w:r w:rsidR="0079799B">
              <w:rPr>
                <w:rFonts w:ascii="Cambria" w:hAnsi="Cambria" w:cs="Times New Roman"/>
                <w:color w:val="auto"/>
              </w:rPr>
              <w:t xml:space="preserve">against </w:t>
            </w:r>
            <w:r w:rsidR="00C33213">
              <w:rPr>
                <w:rFonts w:ascii="Cambria" w:hAnsi="Cambria" w:cs="Times New Roman"/>
                <w:color w:val="auto"/>
              </w:rPr>
              <w:t xml:space="preserve">positions held by strategic shareholders. </w:t>
            </w:r>
          </w:p>
        </w:tc>
      </w:tr>
      <w:tr w:rsidR="00C33213" w14:paraId="0441FFD2" w14:textId="77777777" w:rsidTr="0073642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2"/>
          </w:tcPr>
          <w:p w14:paraId="05CC28B3" w14:textId="079123F4" w:rsidR="00C33213" w:rsidRDefault="00C33213" w:rsidP="00C33213">
            <w:pPr>
              <w:jc w:val="center"/>
              <w:rPr>
                <w:rFonts w:ascii="Cambria" w:hAnsi="Cambria" w:cs="Times New Roman"/>
                <w:color w:val="auto"/>
              </w:rPr>
            </w:pPr>
            <w:r w:rsidRPr="00E804B2">
              <w:rPr>
                <w:rFonts w:ascii="Cambria" w:hAnsi="Cambria"/>
                <w:b/>
                <w:color w:val="FF0000"/>
                <w:sz w:val="32"/>
                <w:szCs w:val="32"/>
              </w:rPr>
              <w:t>Non</w:t>
            </w:r>
            <w:r w:rsidR="0079799B">
              <w:rPr>
                <w:rFonts w:ascii="Cambria" w:hAnsi="Cambria"/>
                <w:b/>
                <w:color w:val="FF0000"/>
                <w:sz w:val="32"/>
                <w:szCs w:val="32"/>
              </w:rPr>
              <w:t>-</w:t>
            </w:r>
            <w:r w:rsidRPr="00E804B2">
              <w:rPr>
                <w:rFonts w:ascii="Cambria" w:hAnsi="Cambria"/>
                <w:b/>
                <w:color w:val="FF0000"/>
                <w:sz w:val="32"/>
                <w:szCs w:val="32"/>
              </w:rPr>
              <w:t>Financial Section</w:t>
            </w:r>
          </w:p>
        </w:tc>
      </w:tr>
      <w:tr w:rsidR="00736423" w14:paraId="08297DB3" w14:textId="77777777" w:rsidTr="004E1A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1695B688" w14:textId="462C8484" w:rsidR="00736423" w:rsidRDefault="00736423" w:rsidP="00736423">
            <w:pPr>
              <w:spacing w:before="0" w:after="0"/>
              <w:rPr>
                <w:rFonts w:ascii="Cambria" w:hAnsi="Cambria"/>
                <w:b/>
                <w:color w:val="auto"/>
                <w:szCs w:val="24"/>
                <w:u w:val="single"/>
              </w:rPr>
            </w:pPr>
            <w:r w:rsidRPr="00E042E0">
              <w:rPr>
                <w:rFonts w:ascii="Cambria" w:hAnsi="Cambria"/>
                <w:b/>
                <w:color w:val="auto"/>
                <w:szCs w:val="24"/>
                <w:u w:val="single"/>
              </w:rPr>
              <w:t xml:space="preserve">Local Presence: </w:t>
            </w:r>
          </w:p>
          <w:p w14:paraId="5C755315" w14:textId="77777777" w:rsidR="00736423" w:rsidRPr="00E042E0" w:rsidRDefault="00736423" w:rsidP="00736423">
            <w:pPr>
              <w:spacing w:before="0" w:after="0"/>
              <w:rPr>
                <w:rFonts w:ascii="Cambria" w:hAnsi="Cambria"/>
                <w:b/>
                <w:color w:val="auto"/>
                <w:szCs w:val="24"/>
                <w:u w:val="single"/>
              </w:rPr>
            </w:pPr>
          </w:p>
          <w:p w14:paraId="08884817" w14:textId="3101780F" w:rsidR="00736423" w:rsidRDefault="00736423" w:rsidP="00736423">
            <w:pPr>
              <w:pStyle w:val="ListParagraph"/>
              <w:numPr>
                <w:ilvl w:val="0"/>
                <w:numId w:val="23"/>
              </w:numPr>
              <w:spacing w:before="0" w:after="0"/>
              <w:rPr>
                <w:rFonts w:ascii="Cambria" w:hAnsi="Cambria"/>
                <w:color w:val="auto"/>
                <w:szCs w:val="24"/>
              </w:rPr>
            </w:pPr>
            <w:r>
              <w:rPr>
                <w:rFonts w:ascii="Cambria" w:hAnsi="Cambria"/>
                <w:color w:val="auto"/>
                <w:szCs w:val="24"/>
              </w:rPr>
              <w:t xml:space="preserve">BNYM has a Russian representative office in Moscow, managed by Irina Baichorova. </w:t>
            </w:r>
            <w:r w:rsidR="0079799B">
              <w:rPr>
                <w:rFonts w:ascii="Cambria" w:hAnsi="Cambria"/>
                <w:color w:val="auto"/>
                <w:szCs w:val="24"/>
              </w:rPr>
              <w:t xml:space="preserve">  </w:t>
            </w:r>
            <w:r>
              <w:rPr>
                <w:rFonts w:ascii="Cambria" w:hAnsi="Cambria"/>
                <w:color w:val="auto"/>
                <w:szCs w:val="24"/>
              </w:rPr>
              <w:t xml:space="preserve">She is one of the best DR experts in the industry and has significant DR experience. </w:t>
            </w:r>
            <w:r w:rsidRPr="00E042E0">
              <w:rPr>
                <w:rFonts w:ascii="Cambria" w:hAnsi="Cambria"/>
                <w:color w:val="auto"/>
                <w:szCs w:val="24"/>
              </w:rPr>
              <w:t xml:space="preserve"> </w:t>
            </w:r>
          </w:p>
          <w:p w14:paraId="6E87D26E" w14:textId="77777777" w:rsidR="00736423" w:rsidRDefault="00736423" w:rsidP="00736423">
            <w:pPr>
              <w:pStyle w:val="ListParagraph"/>
              <w:spacing w:before="0" w:after="0"/>
              <w:rPr>
                <w:rFonts w:ascii="Cambria" w:hAnsi="Cambria"/>
                <w:color w:val="auto"/>
                <w:szCs w:val="24"/>
              </w:rPr>
            </w:pPr>
          </w:p>
          <w:p w14:paraId="13572B10" w14:textId="77777777" w:rsidR="00295F19" w:rsidRDefault="00295F19" w:rsidP="00736423">
            <w:pPr>
              <w:rPr>
                <w:rFonts w:ascii="Cambria" w:hAnsi="Cambria"/>
                <w:b/>
                <w:color w:val="auto"/>
                <w:szCs w:val="24"/>
                <w:u w:val="single"/>
              </w:rPr>
            </w:pPr>
          </w:p>
          <w:p w14:paraId="5026D94B" w14:textId="77777777" w:rsidR="00736423" w:rsidRDefault="00736423" w:rsidP="00736423">
            <w:pPr>
              <w:rPr>
                <w:rFonts w:ascii="Cambria" w:hAnsi="Cambria"/>
                <w:b/>
                <w:color w:val="auto"/>
                <w:szCs w:val="24"/>
                <w:u w:val="single"/>
              </w:rPr>
            </w:pPr>
            <w:r w:rsidRPr="00E042E0">
              <w:rPr>
                <w:rFonts w:ascii="Cambria" w:hAnsi="Cambria"/>
                <w:b/>
                <w:color w:val="auto"/>
                <w:szCs w:val="24"/>
                <w:u w:val="single"/>
              </w:rPr>
              <w:t xml:space="preserve">DR Functional Structure:  </w:t>
            </w:r>
          </w:p>
          <w:p w14:paraId="7D6AF1C7" w14:textId="661D05AE" w:rsidR="00736423" w:rsidRPr="00E042E0" w:rsidRDefault="0079799B" w:rsidP="00736423">
            <w:pPr>
              <w:rPr>
                <w:rFonts w:ascii="Cambria" w:hAnsi="Cambria"/>
                <w:b/>
                <w:color w:val="auto"/>
                <w:szCs w:val="24"/>
                <w:u w:val="single"/>
              </w:rPr>
            </w:pPr>
            <w:r>
              <w:rPr>
                <w:rFonts w:ascii="Cambria" w:hAnsi="Cambria"/>
                <w:color w:val="auto"/>
                <w:szCs w:val="24"/>
              </w:rPr>
              <w:t xml:space="preserve">The </w:t>
            </w:r>
            <w:r w:rsidR="00736423" w:rsidRPr="00E042E0">
              <w:rPr>
                <w:rFonts w:ascii="Cambria" w:hAnsi="Cambria"/>
                <w:color w:val="auto"/>
                <w:szCs w:val="24"/>
              </w:rPr>
              <w:t xml:space="preserve">DR team consists </w:t>
            </w:r>
            <w:r>
              <w:rPr>
                <w:rFonts w:ascii="Cambria" w:hAnsi="Cambria"/>
                <w:color w:val="auto"/>
                <w:szCs w:val="24"/>
              </w:rPr>
              <w:t>of</w:t>
            </w:r>
            <w:r w:rsidRPr="00E042E0">
              <w:rPr>
                <w:rFonts w:ascii="Cambria" w:hAnsi="Cambria"/>
                <w:color w:val="auto"/>
                <w:szCs w:val="24"/>
              </w:rPr>
              <w:t xml:space="preserve"> </w:t>
            </w:r>
            <w:r w:rsidR="00736423" w:rsidRPr="00E042E0">
              <w:rPr>
                <w:rFonts w:ascii="Cambria" w:hAnsi="Cambria"/>
                <w:color w:val="auto"/>
                <w:szCs w:val="24"/>
              </w:rPr>
              <w:t>the following business units</w:t>
            </w:r>
            <w:r>
              <w:rPr>
                <w:rFonts w:ascii="Cambria" w:hAnsi="Cambria"/>
                <w:color w:val="auto"/>
                <w:szCs w:val="24"/>
              </w:rPr>
              <w:t>:</w:t>
            </w:r>
            <w:r w:rsidR="00736423" w:rsidRPr="00E042E0">
              <w:rPr>
                <w:rFonts w:ascii="Cambria" w:hAnsi="Cambria"/>
                <w:b/>
                <w:color w:val="auto"/>
                <w:szCs w:val="24"/>
              </w:rPr>
              <w:t xml:space="preserve">  </w:t>
            </w:r>
          </w:p>
          <w:p w14:paraId="0ACA4FD7" w14:textId="73F93E01" w:rsidR="00736423" w:rsidRPr="00E042E0" w:rsidRDefault="00736423" w:rsidP="00736423">
            <w:pPr>
              <w:pStyle w:val="ListParagraph"/>
              <w:numPr>
                <w:ilvl w:val="0"/>
                <w:numId w:val="36"/>
              </w:numPr>
              <w:rPr>
                <w:rFonts w:ascii="Cambria" w:hAnsi="Cambria"/>
                <w:color w:val="auto"/>
                <w:szCs w:val="24"/>
              </w:rPr>
            </w:pPr>
            <w:r w:rsidRPr="00E042E0">
              <w:rPr>
                <w:rFonts w:ascii="Cambria" w:hAnsi="Cambria"/>
                <w:color w:val="auto"/>
                <w:szCs w:val="24"/>
              </w:rPr>
              <w:t>R</w:t>
            </w:r>
            <w:r w:rsidR="0079799B">
              <w:rPr>
                <w:rFonts w:ascii="Cambria" w:hAnsi="Cambria"/>
                <w:color w:val="auto"/>
                <w:szCs w:val="24"/>
              </w:rPr>
              <w:t xml:space="preserve">egional </w:t>
            </w:r>
            <w:r w:rsidRPr="00E042E0">
              <w:rPr>
                <w:rFonts w:ascii="Cambria" w:hAnsi="Cambria"/>
                <w:color w:val="auto"/>
                <w:szCs w:val="24"/>
              </w:rPr>
              <w:t>M</w:t>
            </w:r>
            <w:r w:rsidR="0079799B">
              <w:rPr>
                <w:rFonts w:ascii="Cambria" w:hAnsi="Cambria"/>
                <w:color w:val="auto"/>
                <w:szCs w:val="24"/>
              </w:rPr>
              <w:t>anagement</w:t>
            </w:r>
            <w:r w:rsidRPr="00E042E0">
              <w:rPr>
                <w:rFonts w:ascii="Cambria" w:hAnsi="Cambria"/>
                <w:color w:val="auto"/>
                <w:szCs w:val="24"/>
              </w:rPr>
              <w:t xml:space="preserve"> and Client Management </w:t>
            </w:r>
          </w:p>
          <w:p w14:paraId="0E6597FE" w14:textId="77777777" w:rsidR="00736423" w:rsidRPr="00E042E0" w:rsidRDefault="00736423" w:rsidP="00736423">
            <w:pPr>
              <w:pStyle w:val="ListParagraph"/>
              <w:numPr>
                <w:ilvl w:val="0"/>
                <w:numId w:val="36"/>
              </w:numPr>
              <w:rPr>
                <w:rFonts w:ascii="Cambria" w:hAnsi="Cambria"/>
                <w:color w:val="auto"/>
                <w:szCs w:val="24"/>
              </w:rPr>
            </w:pPr>
            <w:r w:rsidRPr="00E042E0">
              <w:rPr>
                <w:rFonts w:ascii="Cambria" w:hAnsi="Cambria"/>
                <w:color w:val="auto"/>
                <w:szCs w:val="24"/>
              </w:rPr>
              <w:t xml:space="preserve">DR Market Solution </w:t>
            </w:r>
          </w:p>
          <w:p w14:paraId="6A84972E" w14:textId="77777777" w:rsidR="00736423" w:rsidRPr="00E042E0" w:rsidRDefault="00736423" w:rsidP="00736423">
            <w:pPr>
              <w:pStyle w:val="ListParagraph"/>
              <w:numPr>
                <w:ilvl w:val="0"/>
                <w:numId w:val="36"/>
              </w:numPr>
              <w:rPr>
                <w:rFonts w:ascii="Cambria" w:hAnsi="Cambria"/>
                <w:color w:val="auto"/>
                <w:szCs w:val="24"/>
              </w:rPr>
            </w:pPr>
            <w:r w:rsidRPr="00E042E0">
              <w:rPr>
                <w:rFonts w:ascii="Cambria" w:hAnsi="Cambria"/>
                <w:color w:val="auto"/>
                <w:szCs w:val="24"/>
              </w:rPr>
              <w:t xml:space="preserve">Legal &amp; Transaction Structuring Group </w:t>
            </w:r>
          </w:p>
          <w:p w14:paraId="7BA8AA7B" w14:textId="77777777" w:rsidR="00736423" w:rsidRPr="00E042E0" w:rsidRDefault="00736423" w:rsidP="00736423">
            <w:pPr>
              <w:pStyle w:val="ListParagraph"/>
              <w:numPr>
                <w:ilvl w:val="0"/>
                <w:numId w:val="36"/>
              </w:numPr>
              <w:rPr>
                <w:rFonts w:ascii="Cambria" w:hAnsi="Cambria"/>
                <w:color w:val="auto"/>
                <w:szCs w:val="24"/>
              </w:rPr>
            </w:pPr>
            <w:r w:rsidRPr="00E042E0">
              <w:rPr>
                <w:rFonts w:ascii="Cambria" w:hAnsi="Cambria"/>
                <w:color w:val="auto"/>
                <w:szCs w:val="24"/>
              </w:rPr>
              <w:t xml:space="preserve">Product Management </w:t>
            </w:r>
          </w:p>
          <w:p w14:paraId="10A12AAC" w14:textId="77777777" w:rsidR="00736423" w:rsidRDefault="00736423" w:rsidP="00736423">
            <w:pPr>
              <w:pStyle w:val="ListParagraph"/>
              <w:numPr>
                <w:ilvl w:val="0"/>
                <w:numId w:val="36"/>
              </w:numPr>
              <w:rPr>
                <w:rFonts w:ascii="Cambria" w:hAnsi="Cambria"/>
                <w:color w:val="auto"/>
                <w:szCs w:val="24"/>
              </w:rPr>
            </w:pPr>
            <w:r w:rsidRPr="00E042E0">
              <w:rPr>
                <w:rFonts w:ascii="Cambria" w:hAnsi="Cambria"/>
                <w:color w:val="auto"/>
                <w:szCs w:val="24"/>
              </w:rPr>
              <w:t xml:space="preserve">Broker Services </w:t>
            </w:r>
          </w:p>
          <w:p w14:paraId="2092F3C7" w14:textId="11EEB0E0" w:rsidR="00736423" w:rsidRPr="00C518AF" w:rsidRDefault="00736423" w:rsidP="00C518AF">
            <w:pPr>
              <w:pStyle w:val="ListParagraph"/>
              <w:numPr>
                <w:ilvl w:val="0"/>
                <w:numId w:val="36"/>
              </w:numPr>
              <w:rPr>
                <w:rFonts w:ascii="Cambria" w:hAnsi="Cambria"/>
                <w:color w:val="auto"/>
                <w:szCs w:val="24"/>
              </w:rPr>
            </w:pPr>
            <w:r w:rsidRPr="00C518AF">
              <w:rPr>
                <w:rFonts w:ascii="Cambria" w:hAnsi="Cambria"/>
                <w:color w:val="auto"/>
                <w:szCs w:val="24"/>
              </w:rPr>
              <w:t>Corporate Actions</w:t>
            </w:r>
          </w:p>
          <w:p w14:paraId="409EDAB5" w14:textId="77777777" w:rsidR="00736423" w:rsidRDefault="00736423" w:rsidP="00736423">
            <w:pPr>
              <w:pStyle w:val="ListParagraph"/>
              <w:spacing w:before="0" w:after="0"/>
              <w:rPr>
                <w:rFonts w:ascii="Cambria" w:hAnsi="Cambria"/>
                <w:color w:val="auto"/>
                <w:szCs w:val="24"/>
              </w:rPr>
            </w:pPr>
          </w:p>
          <w:p w14:paraId="3E348EAE" w14:textId="570CC94A" w:rsidR="00736423" w:rsidRDefault="00736423" w:rsidP="00736423">
            <w:pPr>
              <w:rPr>
                <w:rFonts w:ascii="Cambria" w:hAnsi="Cambria"/>
                <w:b/>
                <w:color w:val="auto"/>
                <w:szCs w:val="24"/>
                <w:u w:val="single"/>
              </w:rPr>
            </w:pPr>
            <w:r>
              <w:rPr>
                <w:rFonts w:ascii="Cambria" w:hAnsi="Cambria"/>
                <w:b/>
                <w:color w:val="auto"/>
                <w:szCs w:val="24"/>
                <w:u w:val="single"/>
              </w:rPr>
              <w:t xml:space="preserve">Proxy and Corporate Action services. </w:t>
            </w:r>
          </w:p>
          <w:p w14:paraId="6BA0C663" w14:textId="77777777" w:rsidR="00736423" w:rsidRDefault="00736423" w:rsidP="00736423">
            <w:pPr>
              <w:pStyle w:val="ListParagraph"/>
              <w:spacing w:before="0" w:after="0"/>
              <w:rPr>
                <w:rFonts w:ascii="Cambria" w:hAnsi="Cambria"/>
                <w:color w:val="auto"/>
                <w:szCs w:val="24"/>
              </w:rPr>
            </w:pPr>
          </w:p>
          <w:p w14:paraId="65332346" w14:textId="16253004" w:rsidR="00736423" w:rsidRDefault="00736423" w:rsidP="00736423">
            <w:pPr>
              <w:pStyle w:val="ListParagraph"/>
              <w:numPr>
                <w:ilvl w:val="0"/>
                <w:numId w:val="23"/>
              </w:numPr>
              <w:spacing w:before="0" w:after="0"/>
              <w:rPr>
                <w:rFonts w:ascii="Cambria" w:hAnsi="Cambria"/>
                <w:color w:val="auto"/>
                <w:szCs w:val="24"/>
              </w:rPr>
            </w:pPr>
            <w:r>
              <w:rPr>
                <w:rFonts w:ascii="Cambria" w:hAnsi="Cambria"/>
                <w:color w:val="auto"/>
                <w:szCs w:val="24"/>
              </w:rPr>
              <w:t xml:space="preserve">BNYM has the best Corporate Action and Proxy team in the DR industry.  Based on </w:t>
            </w:r>
            <w:r w:rsidR="005C2114">
              <w:rPr>
                <w:rFonts w:ascii="Cambria" w:hAnsi="Cambria"/>
                <w:color w:val="auto"/>
                <w:szCs w:val="24"/>
              </w:rPr>
              <w:t xml:space="preserve">its </w:t>
            </w:r>
            <w:r>
              <w:rPr>
                <w:rFonts w:ascii="Cambria" w:hAnsi="Cambria"/>
                <w:color w:val="auto"/>
                <w:szCs w:val="24"/>
              </w:rPr>
              <w:t xml:space="preserve">proposal, BNYM managed several large corporate actions in Russia and globally, including the past contested proxy for </w:t>
            </w:r>
            <w:r w:rsidR="009B56EE">
              <w:rPr>
                <w:rFonts w:ascii="Cambria" w:hAnsi="Cambria"/>
                <w:color w:val="auto"/>
              </w:rPr>
              <w:t>Norilsk Nickel</w:t>
            </w:r>
            <w:r>
              <w:rPr>
                <w:rFonts w:ascii="Cambria" w:hAnsi="Cambria"/>
                <w:color w:val="auto"/>
                <w:szCs w:val="24"/>
              </w:rPr>
              <w:t xml:space="preserve"> and other Russian companies.  There are few Russian speakers at BNYM’s proxy and corporate action team. </w:t>
            </w:r>
          </w:p>
          <w:p w14:paraId="1E5C4FB3" w14:textId="77777777" w:rsidR="00736423" w:rsidRDefault="00736423" w:rsidP="00736423">
            <w:pPr>
              <w:rPr>
                <w:rFonts w:asciiTheme="majorHAnsi" w:hAnsiTheme="majorHAnsi"/>
                <w:b/>
                <w:color w:val="auto"/>
                <w:szCs w:val="24"/>
                <w:u w:val="single"/>
              </w:rPr>
            </w:pPr>
          </w:p>
          <w:p w14:paraId="4649F582" w14:textId="77777777" w:rsidR="00736423" w:rsidRDefault="00736423" w:rsidP="00736423">
            <w:pPr>
              <w:rPr>
                <w:rFonts w:asciiTheme="majorHAnsi" w:hAnsiTheme="majorHAnsi"/>
                <w:b/>
                <w:color w:val="auto"/>
                <w:szCs w:val="24"/>
                <w:u w:val="single"/>
              </w:rPr>
            </w:pPr>
            <w:r w:rsidRPr="00E042E0">
              <w:rPr>
                <w:rFonts w:asciiTheme="majorHAnsi" w:hAnsiTheme="majorHAnsi"/>
                <w:b/>
                <w:color w:val="auto"/>
                <w:szCs w:val="24"/>
                <w:u w:val="single"/>
              </w:rPr>
              <w:t>Value-added investor relations services</w:t>
            </w:r>
            <w:r>
              <w:rPr>
                <w:rFonts w:asciiTheme="majorHAnsi" w:hAnsiTheme="majorHAnsi"/>
                <w:b/>
                <w:color w:val="auto"/>
                <w:szCs w:val="24"/>
                <w:u w:val="single"/>
              </w:rPr>
              <w:t xml:space="preserve">: </w:t>
            </w:r>
          </w:p>
          <w:p w14:paraId="34E490B3" w14:textId="105D1A3A" w:rsidR="00736423" w:rsidRPr="00736423" w:rsidRDefault="00736423" w:rsidP="00736423">
            <w:pPr>
              <w:rPr>
                <w:rFonts w:asciiTheme="majorHAnsi" w:hAnsiTheme="majorHAnsi"/>
                <w:color w:val="auto"/>
                <w:szCs w:val="24"/>
              </w:rPr>
            </w:pPr>
            <w:r w:rsidRPr="00736423">
              <w:rPr>
                <w:rFonts w:asciiTheme="majorHAnsi" w:hAnsiTheme="majorHAnsi"/>
                <w:color w:val="auto"/>
                <w:szCs w:val="24"/>
              </w:rPr>
              <w:t xml:space="preserve">BNYM has 14 IR specialists who can help </w:t>
            </w:r>
            <w:r w:rsidR="006833C0">
              <w:rPr>
                <w:rFonts w:ascii="Cambria" w:hAnsi="Cambria"/>
                <w:color w:val="auto"/>
              </w:rPr>
              <w:t>Norilsk Nickel</w:t>
            </w:r>
            <w:r w:rsidRPr="00736423">
              <w:rPr>
                <w:rFonts w:asciiTheme="majorHAnsi" w:hAnsiTheme="majorHAnsi"/>
                <w:color w:val="auto"/>
                <w:szCs w:val="24"/>
              </w:rPr>
              <w:t xml:space="preserve"> with IR</w:t>
            </w:r>
            <w:r w:rsidR="005C2114">
              <w:rPr>
                <w:rFonts w:asciiTheme="majorHAnsi" w:hAnsiTheme="majorHAnsi"/>
                <w:color w:val="auto"/>
                <w:szCs w:val="24"/>
              </w:rPr>
              <w:t>-</w:t>
            </w:r>
            <w:r w:rsidRPr="00736423">
              <w:rPr>
                <w:rFonts w:asciiTheme="majorHAnsi" w:hAnsiTheme="majorHAnsi"/>
                <w:color w:val="auto"/>
                <w:szCs w:val="24"/>
              </w:rPr>
              <w:t xml:space="preserve">related projects. </w:t>
            </w:r>
          </w:p>
          <w:p w14:paraId="3E52B965" w14:textId="77777777" w:rsidR="00736423" w:rsidRPr="00736423" w:rsidRDefault="00736423" w:rsidP="00736423">
            <w:pPr>
              <w:spacing w:before="0" w:after="0"/>
              <w:rPr>
                <w:rFonts w:ascii="Cambria" w:hAnsi="Cambria"/>
                <w:color w:val="auto"/>
                <w:szCs w:val="24"/>
              </w:rPr>
            </w:pPr>
          </w:p>
          <w:p w14:paraId="2F88B198" w14:textId="63E5333A" w:rsidR="00736423" w:rsidRPr="00E804B2" w:rsidRDefault="00736423" w:rsidP="00736423">
            <w:pPr>
              <w:jc w:val="center"/>
              <w:rPr>
                <w:rFonts w:ascii="Cambria" w:hAnsi="Cambria"/>
                <w:b/>
                <w:color w:val="FF0000"/>
                <w:sz w:val="32"/>
                <w:szCs w:val="32"/>
              </w:rPr>
            </w:pPr>
          </w:p>
        </w:tc>
        <w:tc>
          <w:tcPr>
            <w:tcW w:w="5220" w:type="dxa"/>
          </w:tcPr>
          <w:p w14:paraId="1C01390D" w14:textId="77777777" w:rsidR="00736423" w:rsidRDefault="00736423" w:rsidP="00C332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color w:val="auto"/>
                <w:szCs w:val="24"/>
                <w:u w:val="single"/>
              </w:rPr>
            </w:pPr>
            <w:r w:rsidRPr="00736423">
              <w:rPr>
                <w:rFonts w:ascii="Cambria" w:hAnsi="Cambria"/>
                <w:b/>
                <w:color w:val="auto"/>
                <w:szCs w:val="24"/>
                <w:u w:val="single"/>
              </w:rPr>
              <w:lastRenderedPageBreak/>
              <w:t xml:space="preserve">Local Presence: </w:t>
            </w:r>
          </w:p>
          <w:p w14:paraId="37D30390" w14:textId="514DE1D0" w:rsidR="00736423" w:rsidRDefault="0079799B" w:rsidP="00736423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auto"/>
                <w:szCs w:val="24"/>
              </w:rPr>
            </w:pPr>
            <w:r>
              <w:rPr>
                <w:rFonts w:ascii="Cambria" w:hAnsi="Cambria"/>
                <w:color w:val="auto"/>
                <w:szCs w:val="24"/>
              </w:rPr>
              <w:t>C</w:t>
            </w:r>
            <w:r w:rsidR="00736423" w:rsidRPr="00736423">
              <w:rPr>
                <w:rFonts w:ascii="Cambria" w:hAnsi="Cambria"/>
                <w:color w:val="auto"/>
                <w:szCs w:val="24"/>
              </w:rPr>
              <w:t>ompar</w:t>
            </w:r>
            <w:r>
              <w:rPr>
                <w:rFonts w:ascii="Cambria" w:hAnsi="Cambria"/>
                <w:color w:val="auto"/>
                <w:szCs w:val="24"/>
              </w:rPr>
              <w:t>ed</w:t>
            </w:r>
            <w:r w:rsidR="00736423" w:rsidRPr="00736423">
              <w:rPr>
                <w:rFonts w:ascii="Cambria" w:hAnsi="Cambria"/>
                <w:color w:val="auto"/>
                <w:szCs w:val="24"/>
              </w:rPr>
              <w:t xml:space="preserve"> to other depositary banks, BNYM does not have a full subsidiary office in Moscow. </w:t>
            </w:r>
            <w:r>
              <w:rPr>
                <w:rFonts w:ascii="Cambria" w:hAnsi="Cambria"/>
                <w:color w:val="auto"/>
                <w:szCs w:val="24"/>
              </w:rPr>
              <w:t xml:space="preserve">  </w:t>
            </w:r>
            <w:r w:rsidR="00736423">
              <w:rPr>
                <w:rFonts w:ascii="Cambria" w:hAnsi="Cambria"/>
                <w:color w:val="auto"/>
                <w:szCs w:val="24"/>
              </w:rPr>
              <w:t>As a result</w:t>
            </w:r>
            <w:r w:rsidR="004229EE">
              <w:rPr>
                <w:rFonts w:ascii="Cambria" w:hAnsi="Cambria"/>
                <w:color w:val="auto"/>
                <w:szCs w:val="24"/>
              </w:rPr>
              <w:t>, BNYM</w:t>
            </w:r>
            <w:r w:rsidR="00736423">
              <w:rPr>
                <w:rFonts w:ascii="Cambria" w:hAnsi="Cambria"/>
                <w:color w:val="auto"/>
                <w:szCs w:val="24"/>
              </w:rPr>
              <w:t xml:space="preserve"> cannot </w:t>
            </w:r>
            <w:r w:rsidR="004229EE">
              <w:rPr>
                <w:rFonts w:ascii="Cambria" w:hAnsi="Cambria"/>
                <w:color w:val="auto"/>
                <w:szCs w:val="24"/>
              </w:rPr>
              <w:t>perform</w:t>
            </w:r>
            <w:r w:rsidR="00736423">
              <w:rPr>
                <w:rFonts w:ascii="Cambria" w:hAnsi="Cambria"/>
                <w:color w:val="auto"/>
                <w:szCs w:val="24"/>
              </w:rPr>
              <w:t xml:space="preserve"> full operational </w:t>
            </w:r>
            <w:r w:rsidR="004229EE">
              <w:rPr>
                <w:rFonts w:ascii="Cambria" w:hAnsi="Cambria"/>
                <w:color w:val="auto"/>
                <w:szCs w:val="24"/>
              </w:rPr>
              <w:t xml:space="preserve">duties </w:t>
            </w:r>
            <w:r w:rsidR="004229EE" w:rsidRPr="00736423">
              <w:rPr>
                <w:rFonts w:ascii="Cambria" w:hAnsi="Cambria"/>
                <w:color w:val="auto"/>
                <w:szCs w:val="24"/>
              </w:rPr>
              <w:t>in</w:t>
            </w:r>
            <w:r w:rsidR="00736423" w:rsidRPr="00736423">
              <w:rPr>
                <w:rFonts w:ascii="Cambria" w:hAnsi="Cambria"/>
                <w:color w:val="auto"/>
                <w:szCs w:val="24"/>
              </w:rPr>
              <w:t xml:space="preserve"> Russia. </w:t>
            </w:r>
          </w:p>
          <w:p w14:paraId="49AFCDE0" w14:textId="20679CD6" w:rsidR="00736423" w:rsidRDefault="00736423" w:rsidP="00736423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auto"/>
                <w:szCs w:val="24"/>
              </w:rPr>
            </w:pPr>
            <w:r>
              <w:rPr>
                <w:rFonts w:ascii="Cambria" w:hAnsi="Cambria"/>
                <w:color w:val="auto"/>
                <w:szCs w:val="24"/>
              </w:rPr>
              <w:t>Non</w:t>
            </w:r>
            <w:r w:rsidR="0079799B">
              <w:rPr>
                <w:rFonts w:ascii="Cambria" w:hAnsi="Cambria"/>
                <w:color w:val="auto"/>
                <w:szCs w:val="24"/>
              </w:rPr>
              <w:t>e</w:t>
            </w:r>
          </w:p>
          <w:p w14:paraId="0C8C1BBF" w14:textId="77777777" w:rsidR="003D04CA" w:rsidRDefault="003D04CA" w:rsidP="003D04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color w:val="auto"/>
                <w:szCs w:val="24"/>
                <w:u w:val="single"/>
              </w:rPr>
            </w:pPr>
            <w:r w:rsidRPr="00E042E0">
              <w:rPr>
                <w:rFonts w:ascii="Cambria" w:hAnsi="Cambria"/>
                <w:b/>
                <w:color w:val="auto"/>
                <w:szCs w:val="24"/>
                <w:u w:val="single"/>
              </w:rPr>
              <w:lastRenderedPageBreak/>
              <w:t xml:space="preserve">DR Functional Structure:  </w:t>
            </w:r>
          </w:p>
          <w:p w14:paraId="7CC477FE" w14:textId="77777777" w:rsidR="00FB0D18" w:rsidRDefault="00FB0D18" w:rsidP="00FB0D18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auto"/>
                <w:szCs w:val="24"/>
              </w:rPr>
            </w:pPr>
            <w:r>
              <w:rPr>
                <w:rFonts w:ascii="Cambria" w:hAnsi="Cambria"/>
                <w:color w:val="auto"/>
                <w:szCs w:val="24"/>
              </w:rPr>
              <w:t>None</w:t>
            </w:r>
          </w:p>
          <w:p w14:paraId="3B0683BD" w14:textId="77777777" w:rsidR="003D04CA" w:rsidRDefault="003D04CA" w:rsidP="003D04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auto"/>
                <w:szCs w:val="24"/>
              </w:rPr>
            </w:pPr>
          </w:p>
          <w:p w14:paraId="03F8AEAC" w14:textId="77777777" w:rsidR="003D04CA" w:rsidRDefault="003D04CA" w:rsidP="003D04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auto"/>
                <w:szCs w:val="24"/>
              </w:rPr>
            </w:pPr>
          </w:p>
          <w:p w14:paraId="7651BB1F" w14:textId="77777777" w:rsidR="003D04CA" w:rsidRDefault="003D04CA" w:rsidP="003D04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auto"/>
                <w:szCs w:val="24"/>
              </w:rPr>
            </w:pPr>
          </w:p>
          <w:p w14:paraId="38848EC5" w14:textId="77777777" w:rsidR="003D04CA" w:rsidRDefault="003D04CA" w:rsidP="003D04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auto"/>
                <w:szCs w:val="24"/>
              </w:rPr>
            </w:pPr>
          </w:p>
          <w:p w14:paraId="121BCF85" w14:textId="77777777" w:rsidR="00295F19" w:rsidRDefault="00295F19" w:rsidP="007E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color w:val="auto"/>
                <w:szCs w:val="24"/>
                <w:u w:val="single"/>
              </w:rPr>
            </w:pPr>
          </w:p>
          <w:p w14:paraId="43E61F87" w14:textId="77777777" w:rsidR="002E3AAD" w:rsidRDefault="002E3AAD" w:rsidP="007E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color w:val="auto"/>
                <w:szCs w:val="24"/>
                <w:u w:val="single"/>
              </w:rPr>
            </w:pPr>
          </w:p>
          <w:p w14:paraId="4673CA24" w14:textId="5C0B3AB0" w:rsidR="007E38B5" w:rsidRDefault="007E38B5" w:rsidP="007E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color w:val="auto"/>
                <w:szCs w:val="24"/>
                <w:u w:val="single"/>
              </w:rPr>
            </w:pPr>
            <w:r>
              <w:rPr>
                <w:rFonts w:ascii="Cambria" w:hAnsi="Cambria"/>
                <w:b/>
                <w:color w:val="auto"/>
                <w:szCs w:val="24"/>
                <w:u w:val="single"/>
              </w:rPr>
              <w:t xml:space="preserve">Proxy and Corporate Action </w:t>
            </w:r>
            <w:r w:rsidR="00060AC4">
              <w:rPr>
                <w:rFonts w:ascii="Cambria" w:hAnsi="Cambria"/>
                <w:b/>
                <w:color w:val="auto"/>
                <w:szCs w:val="24"/>
                <w:u w:val="single"/>
              </w:rPr>
              <w:t>S</w:t>
            </w:r>
            <w:r>
              <w:rPr>
                <w:rFonts w:ascii="Cambria" w:hAnsi="Cambria"/>
                <w:b/>
                <w:color w:val="auto"/>
                <w:szCs w:val="24"/>
                <w:u w:val="single"/>
              </w:rPr>
              <w:t xml:space="preserve">ervices. </w:t>
            </w:r>
          </w:p>
          <w:p w14:paraId="631E9813" w14:textId="77777777" w:rsidR="003D04CA" w:rsidRDefault="003D04CA" w:rsidP="003D04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auto"/>
                <w:szCs w:val="24"/>
              </w:rPr>
            </w:pPr>
          </w:p>
          <w:p w14:paraId="6BD0F602" w14:textId="35D76C39" w:rsidR="007E38B5" w:rsidRDefault="007E38B5" w:rsidP="003D04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auto"/>
                <w:szCs w:val="24"/>
              </w:rPr>
            </w:pPr>
            <w:r>
              <w:rPr>
                <w:rFonts w:ascii="Cambria" w:hAnsi="Cambria"/>
                <w:color w:val="auto"/>
                <w:szCs w:val="24"/>
              </w:rPr>
              <w:t xml:space="preserve">BNYM has one of the best proxy and corporate actions specialist in the DR industry. </w:t>
            </w:r>
          </w:p>
          <w:p w14:paraId="4A7AAB9A" w14:textId="77777777" w:rsidR="007E38B5" w:rsidRDefault="007E38B5" w:rsidP="003D04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auto"/>
                <w:szCs w:val="24"/>
              </w:rPr>
            </w:pPr>
          </w:p>
          <w:p w14:paraId="5F161CF8" w14:textId="77777777" w:rsidR="007E38B5" w:rsidRDefault="007E38B5" w:rsidP="003D04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auto"/>
                <w:szCs w:val="24"/>
              </w:rPr>
            </w:pPr>
          </w:p>
          <w:p w14:paraId="6E6230C1" w14:textId="77777777" w:rsidR="007E38B5" w:rsidRDefault="007E38B5" w:rsidP="003D04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auto"/>
                <w:szCs w:val="24"/>
              </w:rPr>
            </w:pPr>
          </w:p>
          <w:p w14:paraId="4FF4D877" w14:textId="77777777" w:rsidR="00295F19" w:rsidRDefault="00295F19" w:rsidP="007E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24"/>
                <w:u w:val="single"/>
              </w:rPr>
            </w:pPr>
          </w:p>
          <w:p w14:paraId="29A72F66" w14:textId="77777777" w:rsidR="007E38B5" w:rsidRDefault="007E38B5" w:rsidP="007E3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24"/>
                <w:u w:val="single"/>
              </w:rPr>
            </w:pPr>
            <w:r w:rsidRPr="00E042E0">
              <w:rPr>
                <w:rFonts w:asciiTheme="majorHAnsi" w:hAnsiTheme="majorHAnsi"/>
                <w:b/>
                <w:color w:val="auto"/>
                <w:szCs w:val="24"/>
                <w:u w:val="single"/>
              </w:rPr>
              <w:t>Value-added investor relations services</w:t>
            </w:r>
            <w:r>
              <w:rPr>
                <w:rFonts w:asciiTheme="majorHAnsi" w:hAnsiTheme="majorHAnsi"/>
                <w:b/>
                <w:color w:val="auto"/>
                <w:szCs w:val="24"/>
                <w:u w:val="single"/>
              </w:rPr>
              <w:t xml:space="preserve">: </w:t>
            </w:r>
          </w:p>
          <w:p w14:paraId="2A11CE71" w14:textId="6F0283F0" w:rsidR="007E38B5" w:rsidRPr="00ED6092" w:rsidRDefault="00ED6092" w:rsidP="00C518AF">
            <w:pPr>
              <w:pStyle w:val="ListParagraph"/>
              <w:numPr>
                <w:ilvl w:val="0"/>
                <w:numId w:val="5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iCs/>
                <w:color w:val="auto"/>
                <w:spacing w:val="15"/>
                <w:szCs w:val="24"/>
              </w:rPr>
            </w:pPr>
            <w:r w:rsidRPr="00ED6092">
              <w:rPr>
                <w:rFonts w:ascii="Cambria" w:hAnsi="Cambria"/>
                <w:color w:val="auto"/>
                <w:szCs w:val="24"/>
              </w:rPr>
              <w:t>All non-financial services provide</w:t>
            </w:r>
            <w:r w:rsidR="005C2114">
              <w:rPr>
                <w:rFonts w:ascii="Cambria" w:hAnsi="Cambria"/>
                <w:color w:val="auto"/>
                <w:szCs w:val="24"/>
              </w:rPr>
              <w:t>d</w:t>
            </w:r>
            <w:r w:rsidRPr="00ED6092">
              <w:rPr>
                <w:rFonts w:ascii="Cambria" w:hAnsi="Cambria"/>
                <w:color w:val="auto"/>
                <w:szCs w:val="24"/>
              </w:rPr>
              <w:t xml:space="preserve"> by depositary bank</w:t>
            </w:r>
            <w:r>
              <w:rPr>
                <w:rFonts w:ascii="Cambria" w:hAnsi="Cambria"/>
                <w:color w:val="auto"/>
                <w:szCs w:val="24"/>
              </w:rPr>
              <w:t>s</w:t>
            </w:r>
            <w:r w:rsidRPr="00ED6092">
              <w:rPr>
                <w:rFonts w:ascii="Cambria" w:hAnsi="Cambria"/>
                <w:color w:val="auto"/>
                <w:szCs w:val="24"/>
              </w:rPr>
              <w:t xml:space="preserve"> carry </w:t>
            </w:r>
            <w:r>
              <w:rPr>
                <w:rFonts w:ascii="Cambria" w:hAnsi="Cambria"/>
                <w:color w:val="auto"/>
                <w:szCs w:val="24"/>
              </w:rPr>
              <w:t xml:space="preserve">out </w:t>
            </w:r>
            <w:r w:rsidRPr="00ED6092">
              <w:rPr>
                <w:rFonts w:ascii="Cambria" w:hAnsi="Cambria"/>
                <w:color w:val="auto"/>
                <w:szCs w:val="24"/>
              </w:rPr>
              <w:t>the same level of service</w:t>
            </w:r>
            <w:r w:rsidR="005C2114">
              <w:rPr>
                <w:rFonts w:ascii="Cambria" w:hAnsi="Cambria"/>
                <w:color w:val="auto"/>
                <w:szCs w:val="24"/>
              </w:rPr>
              <w:t>,</w:t>
            </w:r>
            <w:r w:rsidRPr="00ED6092">
              <w:rPr>
                <w:rFonts w:ascii="Cambria" w:hAnsi="Cambria"/>
                <w:color w:val="auto"/>
                <w:szCs w:val="24"/>
              </w:rPr>
              <w:t xml:space="preserve"> </w:t>
            </w:r>
            <w:r>
              <w:rPr>
                <w:rFonts w:ascii="Cambria" w:hAnsi="Cambria"/>
                <w:color w:val="auto"/>
                <w:szCs w:val="24"/>
              </w:rPr>
              <w:t>except</w:t>
            </w:r>
            <w:r w:rsidRPr="00ED6092">
              <w:rPr>
                <w:rFonts w:ascii="Cambria" w:hAnsi="Cambria"/>
                <w:color w:val="auto"/>
                <w:szCs w:val="24"/>
              </w:rPr>
              <w:t xml:space="preserve"> proxy and corporate actions. </w:t>
            </w:r>
            <w:r w:rsidR="005C2114">
              <w:rPr>
                <w:rFonts w:ascii="Cambria" w:hAnsi="Cambria"/>
                <w:color w:val="auto"/>
                <w:szCs w:val="24"/>
              </w:rPr>
              <w:t xml:space="preserve"> Although</w:t>
            </w:r>
            <w:r w:rsidRPr="00ED6092">
              <w:rPr>
                <w:rFonts w:ascii="Cambria" w:hAnsi="Cambria"/>
                <w:color w:val="auto"/>
                <w:szCs w:val="24"/>
              </w:rPr>
              <w:t xml:space="preserve"> all depositary banks offer IR support</w:t>
            </w:r>
            <w:r w:rsidR="0053341D">
              <w:rPr>
                <w:rFonts w:ascii="Cambria" w:hAnsi="Cambria"/>
                <w:color w:val="auto"/>
                <w:szCs w:val="24"/>
              </w:rPr>
              <w:t>, their IR capabilities are limited in terms of executing and delivering IR</w:t>
            </w:r>
            <w:r w:rsidR="005C2114">
              <w:rPr>
                <w:rFonts w:ascii="Cambria" w:hAnsi="Cambria"/>
                <w:color w:val="auto"/>
                <w:szCs w:val="24"/>
              </w:rPr>
              <w:t>-</w:t>
            </w:r>
            <w:r w:rsidR="0053341D">
              <w:rPr>
                <w:rFonts w:ascii="Cambria" w:hAnsi="Cambria"/>
                <w:color w:val="auto"/>
                <w:szCs w:val="24"/>
              </w:rPr>
              <w:t xml:space="preserve">related projects. </w:t>
            </w:r>
          </w:p>
        </w:tc>
      </w:tr>
    </w:tbl>
    <w:p w14:paraId="762D80FC" w14:textId="583FA704" w:rsidR="00E804B2" w:rsidRDefault="00E804B2" w:rsidP="00E804B2">
      <w:pPr>
        <w:jc w:val="both"/>
        <w:rPr>
          <w:rFonts w:ascii="Cambria" w:hAnsi="Cambria" w:cs="Times New Roman"/>
          <w:color w:val="auto"/>
        </w:rPr>
      </w:pPr>
    </w:p>
    <w:p w14:paraId="00ACDD77" w14:textId="77777777" w:rsidR="00A67DC0" w:rsidRDefault="00A67DC0" w:rsidP="00E804B2">
      <w:pPr>
        <w:jc w:val="both"/>
        <w:rPr>
          <w:rFonts w:ascii="Cambria" w:hAnsi="Cambria" w:cs="Times New Roman"/>
          <w:color w:val="auto"/>
        </w:rPr>
      </w:pPr>
    </w:p>
    <w:p w14:paraId="56511002" w14:textId="21D19450" w:rsidR="005B455A" w:rsidRDefault="00A67DC0" w:rsidP="00E804B2">
      <w:pPr>
        <w:jc w:val="both"/>
        <w:rPr>
          <w:rFonts w:ascii="Cambria" w:hAnsi="Cambria" w:cs="Times New Roman"/>
          <w:color w:val="auto"/>
        </w:rPr>
      </w:pPr>
      <w:r>
        <w:rPr>
          <w:rFonts w:ascii="Cambria" w:hAnsi="Cambria" w:cs="Times New Roman"/>
          <w:color w:val="auto"/>
        </w:rPr>
        <w:t>Below is a c</w:t>
      </w:r>
      <w:r w:rsidR="003D04CA">
        <w:rPr>
          <w:rFonts w:ascii="Cambria" w:hAnsi="Cambria" w:cs="Times New Roman"/>
          <w:color w:val="auto"/>
        </w:rPr>
        <w:t xml:space="preserve">omparison of </w:t>
      </w:r>
      <w:r>
        <w:rPr>
          <w:rFonts w:ascii="Cambria" w:hAnsi="Cambria" w:cs="Times New Roman"/>
          <w:color w:val="auto"/>
        </w:rPr>
        <w:t xml:space="preserve">BNYM’s </w:t>
      </w:r>
      <w:r w:rsidR="003D04CA">
        <w:rPr>
          <w:rFonts w:ascii="Cambria" w:hAnsi="Cambria" w:cs="Times New Roman"/>
          <w:color w:val="auto"/>
        </w:rPr>
        <w:t xml:space="preserve">2013 DR proposal </w:t>
      </w:r>
      <w:r>
        <w:rPr>
          <w:rFonts w:ascii="Cambria" w:hAnsi="Cambria" w:cs="Times New Roman"/>
          <w:color w:val="auto"/>
        </w:rPr>
        <w:t xml:space="preserve">with </w:t>
      </w:r>
      <w:r w:rsidR="003D04CA">
        <w:rPr>
          <w:rFonts w:ascii="Cambria" w:hAnsi="Cambria" w:cs="Times New Roman"/>
          <w:color w:val="auto"/>
        </w:rPr>
        <w:t xml:space="preserve">the 2009 DR arrangements between BNYM and Norilsk Nickel. </w:t>
      </w:r>
    </w:p>
    <w:p w14:paraId="2D39709F" w14:textId="6FC6145A" w:rsidR="006F2E6F" w:rsidRDefault="003D04CA" w:rsidP="006C2A43">
      <w:pPr>
        <w:rPr>
          <w:rFonts w:ascii="Cambria" w:hAnsi="Cambria" w:cs="Times New Roman"/>
          <w:b/>
          <w:color w:val="auto"/>
          <w:u w:val="single"/>
        </w:rPr>
      </w:pPr>
      <w:r w:rsidRPr="003D04CA">
        <w:rPr>
          <w:rFonts w:ascii="Cambria" w:hAnsi="Cambria" w:cs="Times New Roman"/>
          <w:b/>
          <w:color w:val="auto"/>
          <w:u w:val="single"/>
        </w:rPr>
        <w:lastRenderedPageBreak/>
        <w:t xml:space="preserve">DR Pricing: </w:t>
      </w:r>
    </w:p>
    <w:p w14:paraId="0FA2491C" w14:textId="74039F49" w:rsidR="006F2E6F" w:rsidRDefault="006C2A43" w:rsidP="00E804B2">
      <w:pPr>
        <w:jc w:val="both"/>
        <w:rPr>
          <w:rFonts w:ascii="Cambria" w:hAnsi="Cambria" w:cs="Times New Roman"/>
          <w:color w:val="auto"/>
        </w:rPr>
      </w:pPr>
      <w:r w:rsidRPr="006F2E6F">
        <w:rPr>
          <w:noProof/>
          <w:sz w:val="18"/>
          <w:szCs w:val="18"/>
        </w:rPr>
        <w:drawing>
          <wp:anchor distT="0" distB="0" distL="114300" distR="114300" simplePos="0" relativeHeight="252071936" behindDoc="0" locked="0" layoutInCell="1" allowOverlap="1" wp14:anchorId="2BA301EA" wp14:editId="4A02A12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29000" cy="2827020"/>
            <wp:effectExtent l="0" t="0" r="25400" b="17780"/>
            <wp:wrapSquare wrapText="bothSides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</wp:anchor>
        </w:drawing>
      </w:r>
    </w:p>
    <w:p w14:paraId="6EE118D8" w14:textId="003393DD" w:rsidR="00642A79" w:rsidRDefault="00A56E8C" w:rsidP="00E804B2">
      <w:pPr>
        <w:jc w:val="both"/>
        <w:rPr>
          <w:rFonts w:ascii="Cambria" w:hAnsi="Cambria" w:cs="Times New Roman"/>
          <w:color w:val="auto"/>
        </w:rPr>
      </w:pPr>
      <w:r>
        <w:rPr>
          <w:rFonts w:ascii="Cambria" w:hAnsi="Cambria" w:cs="Times New Roman"/>
          <w:color w:val="auto"/>
        </w:rPr>
        <w:br w:type="textWrapping" w:clear="all"/>
      </w:r>
    </w:p>
    <w:p w14:paraId="0BBCD8EE" w14:textId="09A73677" w:rsidR="003D04CA" w:rsidRPr="00750F72" w:rsidRDefault="006A4933" w:rsidP="00E804B2">
      <w:pPr>
        <w:jc w:val="both"/>
        <w:rPr>
          <w:rFonts w:ascii="Cambria" w:hAnsi="Cambria" w:cs="Times New Roman"/>
          <w:color w:val="auto"/>
        </w:rPr>
      </w:pPr>
      <w:r w:rsidRPr="006A4933">
        <w:rPr>
          <w:rFonts w:ascii="Cambria" w:hAnsi="Cambria" w:cs="Times New Roman"/>
          <w:b/>
          <w:color w:val="auto"/>
          <w:u w:val="single"/>
        </w:rPr>
        <w:t>Termination Claus</w:t>
      </w:r>
      <w:r w:rsidR="00B9419F">
        <w:rPr>
          <w:rFonts w:ascii="Cambria" w:hAnsi="Cambria" w:cs="Times New Roman"/>
          <w:b/>
          <w:color w:val="auto"/>
          <w:u w:val="single"/>
        </w:rPr>
        <w:t>e</w:t>
      </w:r>
      <w:r w:rsidRPr="006A4933">
        <w:rPr>
          <w:rFonts w:ascii="Cambria" w:hAnsi="Cambria" w:cs="Times New Roman"/>
          <w:b/>
          <w:color w:val="auto"/>
          <w:u w:val="single"/>
        </w:rPr>
        <w:t xml:space="preserve">: </w:t>
      </w:r>
    </w:p>
    <w:p w14:paraId="5D907FF8" w14:textId="5ADC90E3" w:rsidR="003C08D5" w:rsidRDefault="006A4933" w:rsidP="00E804B2">
      <w:pPr>
        <w:jc w:val="both"/>
        <w:rPr>
          <w:rFonts w:ascii="Cambria" w:hAnsi="Cambria" w:cs="Times New Roman"/>
          <w:color w:val="auto"/>
          <w:szCs w:val="24"/>
        </w:rPr>
      </w:pPr>
      <w:r>
        <w:rPr>
          <w:rFonts w:ascii="Cambria" w:hAnsi="Cambria" w:cs="Times New Roman"/>
          <w:color w:val="auto"/>
          <w:szCs w:val="24"/>
        </w:rPr>
        <w:t xml:space="preserve">In addition to the pricing component, the company was able to change the following provisions in the current contract: </w:t>
      </w:r>
    </w:p>
    <w:p w14:paraId="0BCBF125" w14:textId="29EEDBA7" w:rsidR="003420EE" w:rsidRPr="00C518AF" w:rsidRDefault="003420EE" w:rsidP="00E804B2">
      <w:pPr>
        <w:jc w:val="both"/>
        <w:rPr>
          <w:rFonts w:ascii="Cambria" w:hAnsi="Cambria" w:cs="Times New Roman"/>
          <w:color w:val="FF0000"/>
          <w:szCs w:val="24"/>
        </w:rPr>
      </w:pPr>
      <w:r w:rsidRPr="00C518AF">
        <w:rPr>
          <w:rFonts w:ascii="Cambria" w:hAnsi="Cambria" w:cs="Times New Roman"/>
          <w:color w:val="FF0000"/>
          <w:szCs w:val="24"/>
        </w:rPr>
        <w:t>[What are the provisions that are being changed?  -- WW]</w:t>
      </w:r>
    </w:p>
    <w:p w14:paraId="1AAF6BB5" w14:textId="194188C6" w:rsidR="005B455A" w:rsidRPr="005A44E8" w:rsidRDefault="004229EE" w:rsidP="00E804B2">
      <w:pPr>
        <w:jc w:val="both"/>
        <w:rPr>
          <w:rFonts w:ascii="Cambria" w:hAnsi="Cambria" w:cs="Times New Roman"/>
          <w:b/>
          <w:color w:val="auto"/>
          <w:u w:val="single"/>
        </w:rPr>
      </w:pPr>
      <w:r>
        <w:rPr>
          <w:rFonts w:ascii="Cambria" w:hAnsi="Cambria" w:cs="Times New Roman"/>
          <w:b/>
          <w:color w:val="auto"/>
          <w:u w:val="single"/>
        </w:rPr>
        <w:t>BNYM’s</w:t>
      </w:r>
      <w:r w:rsidRPr="00E31A91">
        <w:rPr>
          <w:rFonts w:ascii="Cambria" w:hAnsi="Cambria" w:cs="Times New Roman"/>
          <w:b/>
          <w:color w:val="auto"/>
          <w:u w:val="single"/>
        </w:rPr>
        <w:t xml:space="preserve"> </w:t>
      </w:r>
      <w:r>
        <w:rPr>
          <w:rFonts w:ascii="Cambria" w:hAnsi="Cambria" w:cs="Times New Roman"/>
          <w:b/>
          <w:color w:val="auto"/>
          <w:u w:val="single"/>
        </w:rPr>
        <w:t>Overall</w:t>
      </w:r>
      <w:r w:rsidR="00725147">
        <w:rPr>
          <w:rFonts w:ascii="Cambria" w:hAnsi="Cambria" w:cs="Times New Roman"/>
          <w:b/>
          <w:color w:val="auto"/>
          <w:u w:val="single"/>
        </w:rPr>
        <w:t xml:space="preserve"> </w:t>
      </w:r>
      <w:r w:rsidR="00E31A91">
        <w:rPr>
          <w:rFonts w:ascii="Cambria" w:hAnsi="Cambria" w:cs="Times New Roman"/>
          <w:b/>
          <w:color w:val="auto"/>
          <w:u w:val="single"/>
        </w:rPr>
        <w:t>S</w:t>
      </w:r>
      <w:r w:rsidR="00353678">
        <w:rPr>
          <w:rFonts w:ascii="Cambria" w:hAnsi="Cambria" w:cs="Times New Roman"/>
          <w:b/>
          <w:color w:val="auto"/>
          <w:u w:val="single"/>
        </w:rPr>
        <w:t>core – 8.95</w:t>
      </w:r>
    </w:p>
    <w:p w14:paraId="4BAB7C4A" w14:textId="2637495D" w:rsidR="0002370E" w:rsidRDefault="00E31A91" w:rsidP="00E804B2">
      <w:pPr>
        <w:jc w:val="both"/>
        <w:rPr>
          <w:rFonts w:ascii="Cambria" w:hAnsi="Cambria" w:cs="Times New Roman"/>
          <w:color w:val="auto"/>
        </w:rPr>
      </w:pPr>
      <w:r>
        <w:rPr>
          <w:rFonts w:ascii="Cambria" w:hAnsi="Cambria" w:cs="Times New Roman"/>
          <w:color w:val="auto"/>
        </w:rPr>
        <w:t>In o</w:t>
      </w:r>
      <w:r w:rsidR="005B455A">
        <w:rPr>
          <w:rFonts w:ascii="Cambria" w:hAnsi="Cambria" w:cs="Times New Roman"/>
          <w:color w:val="auto"/>
        </w:rPr>
        <w:t>ur scoring methodology</w:t>
      </w:r>
      <w:r>
        <w:rPr>
          <w:rFonts w:ascii="Cambria" w:hAnsi="Cambria" w:cs="Times New Roman"/>
          <w:color w:val="auto"/>
        </w:rPr>
        <w:t>,</w:t>
      </w:r>
      <w:r w:rsidR="005B455A">
        <w:rPr>
          <w:rFonts w:ascii="Cambria" w:hAnsi="Cambria" w:cs="Times New Roman"/>
          <w:color w:val="auto"/>
        </w:rPr>
        <w:t xml:space="preserve"> the minimum </w:t>
      </w:r>
      <w:r>
        <w:rPr>
          <w:rFonts w:ascii="Cambria" w:hAnsi="Cambria" w:cs="Times New Roman"/>
          <w:color w:val="auto"/>
        </w:rPr>
        <w:t xml:space="preserve">is </w:t>
      </w:r>
      <w:r w:rsidR="005B455A">
        <w:rPr>
          <w:rFonts w:ascii="Cambria" w:hAnsi="Cambria" w:cs="Times New Roman"/>
          <w:color w:val="auto"/>
        </w:rPr>
        <w:t>0</w:t>
      </w:r>
      <w:r>
        <w:rPr>
          <w:rFonts w:ascii="Cambria" w:hAnsi="Cambria" w:cs="Times New Roman"/>
          <w:color w:val="auto"/>
        </w:rPr>
        <w:t>, with 10</w:t>
      </w:r>
      <w:r w:rsidR="005B455A">
        <w:rPr>
          <w:rFonts w:ascii="Cambria" w:hAnsi="Cambria" w:cs="Times New Roman"/>
          <w:color w:val="auto"/>
        </w:rPr>
        <w:t xml:space="preserve"> </w:t>
      </w:r>
      <w:r w:rsidR="00244FE7">
        <w:rPr>
          <w:rFonts w:ascii="Cambria" w:hAnsi="Cambria" w:cs="Times New Roman"/>
          <w:color w:val="auto"/>
        </w:rPr>
        <w:t xml:space="preserve">points </w:t>
      </w:r>
      <w:r>
        <w:rPr>
          <w:rFonts w:ascii="Cambria" w:hAnsi="Cambria" w:cs="Times New Roman"/>
          <w:color w:val="auto"/>
        </w:rPr>
        <w:t xml:space="preserve">as the </w:t>
      </w:r>
      <w:r w:rsidR="005B455A">
        <w:rPr>
          <w:rFonts w:ascii="Cambria" w:hAnsi="Cambria" w:cs="Times New Roman"/>
          <w:color w:val="auto"/>
        </w:rPr>
        <w:t>maximum</w:t>
      </w:r>
      <w:r>
        <w:rPr>
          <w:rFonts w:ascii="Cambria" w:hAnsi="Cambria" w:cs="Times New Roman"/>
          <w:color w:val="auto"/>
        </w:rPr>
        <w:t>.  F</w:t>
      </w:r>
      <w:r w:rsidR="005B455A">
        <w:rPr>
          <w:rFonts w:ascii="Cambria" w:hAnsi="Cambria" w:cs="Times New Roman"/>
          <w:color w:val="auto"/>
        </w:rPr>
        <w:t>or each section of the proposal</w:t>
      </w:r>
      <w:r>
        <w:rPr>
          <w:rFonts w:ascii="Cambria" w:hAnsi="Cambria" w:cs="Times New Roman"/>
          <w:color w:val="auto"/>
        </w:rPr>
        <w:t>,</w:t>
      </w:r>
      <w:r w:rsidR="005B455A">
        <w:rPr>
          <w:rFonts w:ascii="Cambria" w:hAnsi="Cambria" w:cs="Times New Roman"/>
          <w:color w:val="auto"/>
        </w:rPr>
        <w:t xml:space="preserve"> we have allocated weights </w:t>
      </w:r>
      <w:r w:rsidR="00D822E6">
        <w:rPr>
          <w:rFonts w:ascii="Cambria" w:hAnsi="Cambria" w:cs="Times New Roman"/>
          <w:color w:val="auto"/>
        </w:rPr>
        <w:t xml:space="preserve">according to the </w:t>
      </w:r>
      <w:r w:rsidR="005B455A">
        <w:rPr>
          <w:rFonts w:ascii="Cambria" w:hAnsi="Cambria" w:cs="Times New Roman"/>
          <w:color w:val="auto"/>
        </w:rPr>
        <w:t xml:space="preserve">level of </w:t>
      </w:r>
      <w:r w:rsidR="0002370E">
        <w:rPr>
          <w:rFonts w:ascii="Cambria" w:hAnsi="Cambria" w:cs="Times New Roman"/>
          <w:color w:val="auto"/>
        </w:rPr>
        <w:t>importance</w:t>
      </w:r>
      <w:r w:rsidR="00D822E6">
        <w:rPr>
          <w:rFonts w:ascii="Cambria" w:hAnsi="Cambria" w:cs="Times New Roman"/>
          <w:color w:val="auto"/>
        </w:rPr>
        <w:t xml:space="preserve"> a given factor has</w:t>
      </w:r>
      <w:r w:rsidR="005B455A">
        <w:rPr>
          <w:rFonts w:ascii="Cambria" w:hAnsi="Cambria" w:cs="Times New Roman"/>
          <w:color w:val="auto"/>
        </w:rPr>
        <w:t xml:space="preserve"> in </w:t>
      </w:r>
      <w:r w:rsidR="00D822E6">
        <w:rPr>
          <w:rFonts w:ascii="Cambria" w:hAnsi="Cambria" w:cs="Times New Roman"/>
          <w:color w:val="auto"/>
        </w:rPr>
        <w:t xml:space="preserve">the </w:t>
      </w:r>
      <w:r w:rsidR="005B455A">
        <w:rPr>
          <w:rFonts w:ascii="Cambria" w:hAnsi="Cambria" w:cs="Times New Roman"/>
          <w:color w:val="auto"/>
        </w:rPr>
        <w:t xml:space="preserve">relationship between the depositary bank and </w:t>
      </w:r>
      <w:r w:rsidR="00D822E6">
        <w:rPr>
          <w:rFonts w:ascii="Cambria" w:hAnsi="Cambria" w:cs="Times New Roman"/>
          <w:color w:val="auto"/>
        </w:rPr>
        <w:t>an i</w:t>
      </w:r>
      <w:r w:rsidR="005B455A">
        <w:rPr>
          <w:rFonts w:ascii="Cambria" w:hAnsi="Cambria" w:cs="Times New Roman"/>
          <w:color w:val="auto"/>
        </w:rPr>
        <w:t xml:space="preserve">ssuer.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2260"/>
        <w:gridCol w:w="2858"/>
        <w:gridCol w:w="2487"/>
      </w:tblGrid>
      <w:tr w:rsidR="0002370E" w:rsidRPr="00750F72" w14:paraId="4DB0C980" w14:textId="32AED38A" w:rsidTr="00750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5217DFE0" w14:textId="16A494D3" w:rsidR="0002370E" w:rsidRPr="00750F72" w:rsidRDefault="0002370E" w:rsidP="00E804B2">
            <w:pPr>
              <w:jc w:val="both"/>
              <w:rPr>
                <w:rFonts w:ascii="Cambria" w:hAnsi="Cambria" w:cs="Times New Roman"/>
                <w:b/>
                <w:color w:val="auto"/>
                <w:szCs w:val="24"/>
              </w:rPr>
            </w:pPr>
            <w:r w:rsidRPr="00750F72">
              <w:rPr>
                <w:rFonts w:ascii="Cambria" w:hAnsi="Cambria" w:cs="Times New Roman"/>
                <w:b/>
                <w:color w:val="auto"/>
                <w:szCs w:val="24"/>
              </w:rPr>
              <w:t xml:space="preserve">Item </w:t>
            </w:r>
          </w:p>
        </w:tc>
        <w:tc>
          <w:tcPr>
            <w:tcW w:w="2260" w:type="dxa"/>
          </w:tcPr>
          <w:p w14:paraId="78F48284" w14:textId="42EE1EE5" w:rsidR="0002370E" w:rsidRPr="00750F72" w:rsidRDefault="0002370E" w:rsidP="00E804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Cs w:val="24"/>
              </w:rPr>
            </w:pPr>
            <w:r w:rsidRPr="00750F72">
              <w:rPr>
                <w:rFonts w:ascii="Cambria" w:hAnsi="Cambria" w:cs="Times New Roman"/>
                <w:b/>
                <w:color w:val="auto"/>
                <w:szCs w:val="24"/>
              </w:rPr>
              <w:t xml:space="preserve">Score </w:t>
            </w:r>
          </w:p>
        </w:tc>
        <w:tc>
          <w:tcPr>
            <w:tcW w:w="2858" w:type="dxa"/>
          </w:tcPr>
          <w:p w14:paraId="5740029B" w14:textId="13F9A0BE" w:rsidR="0002370E" w:rsidRPr="00750F72" w:rsidRDefault="0002370E" w:rsidP="00E804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Cs w:val="24"/>
              </w:rPr>
            </w:pPr>
            <w:r w:rsidRPr="00750F72">
              <w:rPr>
                <w:rFonts w:ascii="Cambria" w:hAnsi="Cambria" w:cs="Times New Roman"/>
                <w:b/>
                <w:color w:val="auto"/>
                <w:szCs w:val="24"/>
              </w:rPr>
              <w:t xml:space="preserve">Percentage </w:t>
            </w:r>
            <w:r w:rsidR="003436B7">
              <w:rPr>
                <w:rFonts w:ascii="Cambria" w:hAnsi="Cambria" w:cs="Times New Roman"/>
                <w:b/>
                <w:color w:val="auto"/>
                <w:szCs w:val="24"/>
              </w:rPr>
              <w:t xml:space="preserve">(%) </w:t>
            </w:r>
            <w:r w:rsidRPr="00750F72">
              <w:rPr>
                <w:rFonts w:ascii="Cambria" w:hAnsi="Cambria" w:cs="Times New Roman"/>
                <w:b/>
                <w:color w:val="auto"/>
                <w:szCs w:val="24"/>
              </w:rPr>
              <w:t>allocation</w:t>
            </w:r>
          </w:p>
        </w:tc>
        <w:tc>
          <w:tcPr>
            <w:tcW w:w="2487" w:type="dxa"/>
          </w:tcPr>
          <w:p w14:paraId="77F6351D" w14:textId="0DC3D2DC" w:rsidR="0002370E" w:rsidRPr="00750F72" w:rsidRDefault="0002370E" w:rsidP="00E804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Cs w:val="24"/>
              </w:rPr>
            </w:pPr>
            <w:r w:rsidRPr="00750F72">
              <w:rPr>
                <w:rFonts w:ascii="Cambria" w:hAnsi="Cambria" w:cs="Times New Roman"/>
                <w:b/>
                <w:color w:val="auto"/>
                <w:szCs w:val="24"/>
              </w:rPr>
              <w:t xml:space="preserve">Total Score </w:t>
            </w:r>
          </w:p>
        </w:tc>
      </w:tr>
      <w:tr w:rsidR="0002370E" w:rsidRPr="00750F72" w14:paraId="7D69BCD7" w14:textId="3B608D86" w:rsidTr="00750F72">
        <w:trPr>
          <w:trHeight w:hRule="exact"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122F217F" w14:textId="41E06FD6" w:rsidR="0002370E" w:rsidRPr="00750F72" w:rsidRDefault="0002370E" w:rsidP="00E804B2">
            <w:pPr>
              <w:jc w:val="both"/>
              <w:rPr>
                <w:rFonts w:ascii="Cambria" w:hAnsi="Cambria" w:cs="Times New Roman"/>
                <w:color w:val="auto"/>
                <w:sz w:val="22"/>
              </w:rPr>
            </w:pPr>
            <w:r w:rsidRPr="00750F72">
              <w:rPr>
                <w:rFonts w:ascii="Cambria" w:hAnsi="Cambria" w:cs="Times New Roman"/>
                <w:color w:val="auto"/>
                <w:sz w:val="22"/>
              </w:rPr>
              <w:t>Reimbursement allocation</w:t>
            </w:r>
            <w:r w:rsidR="00750F72">
              <w:rPr>
                <w:rFonts w:ascii="Cambria" w:hAnsi="Cambria" w:cs="Times New Roman"/>
                <w:color w:val="auto"/>
                <w:sz w:val="22"/>
              </w:rPr>
              <w:t xml:space="preserve"> (structure including upfront reimbursement)</w:t>
            </w:r>
          </w:p>
        </w:tc>
        <w:tc>
          <w:tcPr>
            <w:tcW w:w="2260" w:type="dxa"/>
          </w:tcPr>
          <w:p w14:paraId="3524D17D" w14:textId="104031BB" w:rsidR="0002370E" w:rsidRPr="00750F72" w:rsidRDefault="0002370E" w:rsidP="00E804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 w:rsidRPr="00750F72">
              <w:rPr>
                <w:rFonts w:ascii="Cambria" w:hAnsi="Cambria" w:cs="Times New Roman"/>
                <w:color w:val="auto"/>
                <w:sz w:val="22"/>
              </w:rPr>
              <w:t>8</w:t>
            </w:r>
          </w:p>
        </w:tc>
        <w:tc>
          <w:tcPr>
            <w:tcW w:w="2858" w:type="dxa"/>
          </w:tcPr>
          <w:p w14:paraId="608585C5" w14:textId="1AF35198" w:rsidR="0002370E" w:rsidRPr="00750F72" w:rsidRDefault="00750F72" w:rsidP="00E804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 w:rsidRPr="00750F72">
              <w:rPr>
                <w:rFonts w:ascii="Cambria" w:hAnsi="Cambria" w:cs="Times New Roman"/>
                <w:color w:val="auto"/>
                <w:sz w:val="22"/>
              </w:rPr>
              <w:t>5</w:t>
            </w:r>
            <w:r w:rsidR="0002370E" w:rsidRPr="00750F72">
              <w:rPr>
                <w:rFonts w:ascii="Cambria" w:hAnsi="Cambria" w:cs="Times New Roman"/>
                <w:color w:val="auto"/>
                <w:sz w:val="22"/>
              </w:rPr>
              <w:t>0%</w:t>
            </w:r>
          </w:p>
        </w:tc>
        <w:tc>
          <w:tcPr>
            <w:tcW w:w="2487" w:type="dxa"/>
          </w:tcPr>
          <w:p w14:paraId="02222E6B" w14:textId="5C4F525F" w:rsidR="0002370E" w:rsidRPr="00750F72" w:rsidRDefault="002A49D1" w:rsidP="00E804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4</w:t>
            </w:r>
          </w:p>
        </w:tc>
      </w:tr>
      <w:tr w:rsidR="00750F72" w:rsidRPr="00750F72" w14:paraId="3E6E8F7C" w14:textId="77777777" w:rsidTr="00750F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2933C83D" w14:textId="716EC06E" w:rsidR="00750F72" w:rsidRPr="00750F72" w:rsidRDefault="00750F72" w:rsidP="00E804B2">
            <w:pPr>
              <w:jc w:val="both"/>
              <w:rPr>
                <w:rFonts w:ascii="Cambria" w:hAnsi="Cambria" w:cs="Times New Roman"/>
                <w:color w:val="auto"/>
                <w:sz w:val="22"/>
              </w:rPr>
            </w:pPr>
            <w:r w:rsidRPr="00750F72">
              <w:rPr>
                <w:rFonts w:ascii="Cambria" w:hAnsi="Cambria" w:cs="Times New Roman"/>
                <w:color w:val="auto"/>
                <w:sz w:val="22"/>
              </w:rPr>
              <w:t>Discount to strategic shareholders</w:t>
            </w:r>
          </w:p>
        </w:tc>
        <w:tc>
          <w:tcPr>
            <w:tcW w:w="2260" w:type="dxa"/>
          </w:tcPr>
          <w:p w14:paraId="4295A82C" w14:textId="40D93B31" w:rsidR="00750F72" w:rsidRPr="00750F72" w:rsidRDefault="00750F72" w:rsidP="00E804B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 w:rsidRPr="00750F72">
              <w:rPr>
                <w:rFonts w:ascii="Cambria" w:hAnsi="Cambria" w:cs="Times New Roman"/>
                <w:color w:val="auto"/>
                <w:sz w:val="22"/>
              </w:rPr>
              <w:t>7</w:t>
            </w:r>
          </w:p>
        </w:tc>
        <w:tc>
          <w:tcPr>
            <w:tcW w:w="2858" w:type="dxa"/>
          </w:tcPr>
          <w:p w14:paraId="02617BED" w14:textId="68C08AC2" w:rsidR="00750F72" w:rsidRPr="00750F72" w:rsidRDefault="00750F72" w:rsidP="00E804B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 w:rsidRPr="00750F72">
              <w:rPr>
                <w:rFonts w:ascii="Cambria" w:hAnsi="Cambria" w:cs="Times New Roman"/>
                <w:color w:val="auto"/>
                <w:sz w:val="22"/>
              </w:rPr>
              <w:t>15%</w:t>
            </w:r>
          </w:p>
        </w:tc>
        <w:tc>
          <w:tcPr>
            <w:tcW w:w="2487" w:type="dxa"/>
          </w:tcPr>
          <w:p w14:paraId="70DBE1B3" w14:textId="32063573" w:rsidR="00750F72" w:rsidRPr="00750F72" w:rsidRDefault="002A49D1" w:rsidP="00E804B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1</w:t>
            </w:r>
            <w:r w:rsidR="00D822E6">
              <w:rPr>
                <w:rFonts w:ascii="Cambria" w:hAnsi="Cambria" w:cs="Times New Roman"/>
                <w:color w:val="auto"/>
                <w:sz w:val="22"/>
              </w:rPr>
              <w:t>.</w:t>
            </w:r>
            <w:r>
              <w:rPr>
                <w:rFonts w:ascii="Cambria" w:hAnsi="Cambria" w:cs="Times New Roman"/>
                <w:color w:val="auto"/>
                <w:sz w:val="22"/>
              </w:rPr>
              <w:t>05</w:t>
            </w:r>
          </w:p>
        </w:tc>
      </w:tr>
      <w:tr w:rsidR="00750F72" w:rsidRPr="00750F72" w14:paraId="586E4092" w14:textId="77777777" w:rsidTr="00750F72">
        <w:trPr>
          <w:trHeight w:hRule="exact"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41C80E99" w14:textId="629A5F20" w:rsidR="00750F72" w:rsidRPr="00750F72" w:rsidRDefault="00750F72" w:rsidP="00E804B2">
            <w:pPr>
              <w:jc w:val="both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lastRenderedPageBreak/>
              <w:t xml:space="preserve">Proxy/Corporate </w:t>
            </w:r>
            <w:r w:rsidRPr="00750F72">
              <w:rPr>
                <w:rFonts w:ascii="Cambria" w:hAnsi="Cambria" w:cs="Times New Roman"/>
                <w:color w:val="auto"/>
                <w:sz w:val="22"/>
              </w:rPr>
              <w:t xml:space="preserve">Action related services </w:t>
            </w:r>
          </w:p>
        </w:tc>
        <w:tc>
          <w:tcPr>
            <w:tcW w:w="2260" w:type="dxa"/>
          </w:tcPr>
          <w:p w14:paraId="32E4E9EF" w14:textId="687DC05E" w:rsidR="00750F72" w:rsidRPr="00750F72" w:rsidRDefault="00750F72" w:rsidP="00E804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 w:rsidRPr="00750F72">
              <w:rPr>
                <w:rFonts w:ascii="Cambria" w:hAnsi="Cambria" w:cs="Times New Roman"/>
                <w:color w:val="auto"/>
                <w:sz w:val="22"/>
              </w:rPr>
              <w:t>10</w:t>
            </w:r>
          </w:p>
        </w:tc>
        <w:tc>
          <w:tcPr>
            <w:tcW w:w="2858" w:type="dxa"/>
          </w:tcPr>
          <w:p w14:paraId="12EF5450" w14:textId="3B49B382" w:rsidR="00750F72" w:rsidRPr="00750F72" w:rsidRDefault="00750F72" w:rsidP="00E804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 w:rsidRPr="00750F72">
              <w:rPr>
                <w:rFonts w:ascii="Cambria" w:hAnsi="Cambria" w:cs="Times New Roman"/>
                <w:color w:val="auto"/>
                <w:sz w:val="22"/>
              </w:rPr>
              <w:t>10%</w:t>
            </w:r>
          </w:p>
        </w:tc>
        <w:tc>
          <w:tcPr>
            <w:tcW w:w="2487" w:type="dxa"/>
          </w:tcPr>
          <w:p w14:paraId="0282366A" w14:textId="34FA80D8" w:rsidR="00750F72" w:rsidRPr="00750F72" w:rsidRDefault="002A49D1" w:rsidP="00E804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1</w:t>
            </w:r>
          </w:p>
        </w:tc>
      </w:tr>
      <w:tr w:rsidR="00750F72" w:rsidRPr="00750F72" w14:paraId="5F8B778D" w14:textId="77777777" w:rsidTr="00750F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3AA3C3EF" w14:textId="1E62120B" w:rsidR="00750F72" w:rsidRDefault="00750F72" w:rsidP="00E804B2">
            <w:pPr>
              <w:jc w:val="both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Client Support (RM’s coverage)</w:t>
            </w:r>
          </w:p>
        </w:tc>
        <w:tc>
          <w:tcPr>
            <w:tcW w:w="2260" w:type="dxa"/>
          </w:tcPr>
          <w:p w14:paraId="37A07D18" w14:textId="31ECC423" w:rsidR="00750F72" w:rsidRPr="00750F72" w:rsidRDefault="005A44E8" w:rsidP="00E804B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8</w:t>
            </w:r>
          </w:p>
        </w:tc>
        <w:tc>
          <w:tcPr>
            <w:tcW w:w="2858" w:type="dxa"/>
          </w:tcPr>
          <w:p w14:paraId="22EBD052" w14:textId="632D2F54" w:rsidR="00750F72" w:rsidRPr="00750F72" w:rsidRDefault="005A44E8" w:rsidP="00E804B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10%</w:t>
            </w:r>
          </w:p>
        </w:tc>
        <w:tc>
          <w:tcPr>
            <w:tcW w:w="2487" w:type="dxa"/>
          </w:tcPr>
          <w:p w14:paraId="4BA3A205" w14:textId="71BB4767" w:rsidR="00750F72" w:rsidRPr="00750F72" w:rsidRDefault="002A49D1" w:rsidP="00E804B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0.8</w:t>
            </w:r>
          </w:p>
        </w:tc>
      </w:tr>
      <w:tr w:rsidR="00750F72" w:rsidRPr="00750F72" w14:paraId="5907ED55" w14:textId="77777777" w:rsidTr="00750F72">
        <w:trPr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7DA358B6" w14:textId="3D982B03" w:rsidR="00750F72" w:rsidRPr="00750F72" w:rsidRDefault="00750F72" w:rsidP="00E804B2">
            <w:pPr>
              <w:jc w:val="both"/>
              <w:rPr>
                <w:rFonts w:ascii="Cambria" w:hAnsi="Cambria" w:cs="Times New Roman"/>
                <w:color w:val="auto"/>
                <w:sz w:val="22"/>
              </w:rPr>
            </w:pPr>
            <w:r w:rsidRPr="00750F72">
              <w:rPr>
                <w:rFonts w:ascii="Cambria" w:hAnsi="Cambria" w:cs="Times New Roman"/>
                <w:color w:val="auto"/>
                <w:sz w:val="22"/>
              </w:rPr>
              <w:t xml:space="preserve">Local presence </w:t>
            </w:r>
          </w:p>
        </w:tc>
        <w:tc>
          <w:tcPr>
            <w:tcW w:w="2260" w:type="dxa"/>
          </w:tcPr>
          <w:p w14:paraId="7E8F32A1" w14:textId="11B6F992" w:rsidR="00750F72" w:rsidRPr="00750F72" w:rsidRDefault="00750F72" w:rsidP="00E804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 w:rsidRPr="00750F72">
              <w:rPr>
                <w:rFonts w:ascii="Cambria" w:hAnsi="Cambria" w:cs="Times New Roman"/>
                <w:color w:val="auto"/>
                <w:sz w:val="22"/>
              </w:rPr>
              <w:t>5</w:t>
            </w:r>
          </w:p>
        </w:tc>
        <w:tc>
          <w:tcPr>
            <w:tcW w:w="2858" w:type="dxa"/>
          </w:tcPr>
          <w:p w14:paraId="569635B6" w14:textId="474DF461" w:rsidR="00750F72" w:rsidRPr="00750F72" w:rsidRDefault="00750F72" w:rsidP="00E804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 w:rsidRPr="00750F72">
              <w:rPr>
                <w:rFonts w:ascii="Cambria" w:hAnsi="Cambria" w:cs="Times New Roman"/>
                <w:color w:val="auto"/>
                <w:sz w:val="22"/>
              </w:rPr>
              <w:t>5%</w:t>
            </w:r>
          </w:p>
        </w:tc>
        <w:tc>
          <w:tcPr>
            <w:tcW w:w="2487" w:type="dxa"/>
          </w:tcPr>
          <w:p w14:paraId="5B975E42" w14:textId="333D4D40" w:rsidR="00750F72" w:rsidRPr="00750F72" w:rsidRDefault="002A49D1" w:rsidP="00E804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0</w:t>
            </w:r>
            <w:r w:rsidR="00D822E6">
              <w:rPr>
                <w:rFonts w:ascii="Cambria" w:hAnsi="Cambria" w:cs="Times New Roman"/>
                <w:color w:val="auto"/>
                <w:sz w:val="22"/>
              </w:rPr>
              <w:t>.</w:t>
            </w:r>
            <w:r>
              <w:rPr>
                <w:rFonts w:ascii="Cambria" w:hAnsi="Cambria" w:cs="Times New Roman"/>
                <w:color w:val="auto"/>
                <w:sz w:val="22"/>
              </w:rPr>
              <w:t>25</w:t>
            </w:r>
          </w:p>
        </w:tc>
      </w:tr>
      <w:tr w:rsidR="00750F72" w:rsidRPr="00750F72" w14:paraId="5F597A2B" w14:textId="77777777" w:rsidTr="00750F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0E093104" w14:textId="1BA1B178" w:rsidR="00750F72" w:rsidRPr="00750F72" w:rsidRDefault="00750F72" w:rsidP="00E804B2">
            <w:pPr>
              <w:jc w:val="both"/>
              <w:rPr>
                <w:rFonts w:ascii="Cambria" w:hAnsi="Cambria" w:cs="Times New Roman"/>
                <w:color w:val="auto"/>
                <w:sz w:val="22"/>
              </w:rPr>
            </w:pPr>
            <w:r w:rsidRPr="00750F72">
              <w:rPr>
                <w:rFonts w:ascii="Cambria" w:hAnsi="Cambria" w:cs="Times New Roman"/>
                <w:color w:val="auto"/>
                <w:sz w:val="22"/>
              </w:rPr>
              <w:t>IR Services (including access to DR systems, IPREO or TR’s systems)</w:t>
            </w:r>
          </w:p>
        </w:tc>
        <w:tc>
          <w:tcPr>
            <w:tcW w:w="2260" w:type="dxa"/>
          </w:tcPr>
          <w:p w14:paraId="11AA0CF8" w14:textId="5AAF2FA7" w:rsidR="00750F72" w:rsidRPr="00750F72" w:rsidRDefault="00750F72" w:rsidP="00E804B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7</w:t>
            </w:r>
          </w:p>
        </w:tc>
        <w:tc>
          <w:tcPr>
            <w:tcW w:w="2858" w:type="dxa"/>
          </w:tcPr>
          <w:p w14:paraId="43C04782" w14:textId="25CC4710" w:rsidR="00750F72" w:rsidRPr="00750F72" w:rsidRDefault="005A44E8" w:rsidP="00E804B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5</w:t>
            </w:r>
            <w:r w:rsidR="00750F72">
              <w:rPr>
                <w:rFonts w:ascii="Cambria" w:hAnsi="Cambria" w:cs="Times New Roman"/>
                <w:color w:val="auto"/>
                <w:sz w:val="22"/>
              </w:rPr>
              <w:t>%</w:t>
            </w:r>
          </w:p>
        </w:tc>
        <w:tc>
          <w:tcPr>
            <w:tcW w:w="2487" w:type="dxa"/>
          </w:tcPr>
          <w:p w14:paraId="42840FA8" w14:textId="1E7ED010" w:rsidR="00750F72" w:rsidRPr="00750F72" w:rsidRDefault="002A49D1" w:rsidP="00E804B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0.35</w:t>
            </w:r>
          </w:p>
        </w:tc>
      </w:tr>
      <w:tr w:rsidR="002A49D1" w:rsidRPr="00750F72" w14:paraId="37C91A94" w14:textId="77777777" w:rsidTr="00750F72">
        <w:trPr>
          <w:trHeight w:hRule="exact" w:val="1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1D0AD9E6" w14:textId="1462C6BF" w:rsidR="002A49D1" w:rsidRPr="00750F72" w:rsidRDefault="002A49D1" w:rsidP="00E804B2">
            <w:pPr>
              <w:jc w:val="both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 xml:space="preserve">* Historical Relationship (Extra bonus points) </w:t>
            </w:r>
          </w:p>
        </w:tc>
        <w:tc>
          <w:tcPr>
            <w:tcW w:w="2260" w:type="dxa"/>
          </w:tcPr>
          <w:p w14:paraId="44560B6B" w14:textId="53279630" w:rsidR="002A49D1" w:rsidRDefault="002A49D1" w:rsidP="00E804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10</w:t>
            </w:r>
          </w:p>
        </w:tc>
        <w:tc>
          <w:tcPr>
            <w:tcW w:w="2858" w:type="dxa"/>
          </w:tcPr>
          <w:p w14:paraId="3400F0EC" w14:textId="1827DAAD" w:rsidR="002A49D1" w:rsidRDefault="00353678" w:rsidP="00E804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10%</w:t>
            </w:r>
          </w:p>
        </w:tc>
        <w:tc>
          <w:tcPr>
            <w:tcW w:w="2487" w:type="dxa"/>
          </w:tcPr>
          <w:p w14:paraId="23275A8A" w14:textId="4BFCF012" w:rsidR="002A49D1" w:rsidRPr="00750F72" w:rsidRDefault="00353678" w:rsidP="00E804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1</w:t>
            </w:r>
          </w:p>
        </w:tc>
      </w:tr>
      <w:tr w:rsidR="00750F72" w:rsidRPr="00750F72" w14:paraId="595D94F0" w14:textId="77777777" w:rsidTr="00750F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3A8970A5" w14:textId="3404DB73" w:rsidR="00750F72" w:rsidRPr="00750F72" w:rsidRDefault="00750F72" w:rsidP="00E804B2">
            <w:pPr>
              <w:jc w:val="both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Termination/Structure of the new agreement (Including termination clause)</w:t>
            </w:r>
          </w:p>
        </w:tc>
        <w:tc>
          <w:tcPr>
            <w:tcW w:w="2260" w:type="dxa"/>
          </w:tcPr>
          <w:p w14:paraId="45B3346C" w14:textId="39638A8B" w:rsidR="00750F72" w:rsidRDefault="00750F72" w:rsidP="00E804B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10</w:t>
            </w:r>
          </w:p>
        </w:tc>
        <w:tc>
          <w:tcPr>
            <w:tcW w:w="2858" w:type="dxa"/>
          </w:tcPr>
          <w:p w14:paraId="06EEDBD8" w14:textId="2951606B" w:rsidR="00750F72" w:rsidRDefault="005A44E8" w:rsidP="00E804B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5</w:t>
            </w:r>
            <w:r w:rsidR="00750F72">
              <w:rPr>
                <w:rFonts w:ascii="Cambria" w:hAnsi="Cambria" w:cs="Times New Roman"/>
                <w:color w:val="auto"/>
                <w:sz w:val="22"/>
              </w:rPr>
              <w:t>%</w:t>
            </w:r>
          </w:p>
        </w:tc>
        <w:tc>
          <w:tcPr>
            <w:tcW w:w="2487" w:type="dxa"/>
          </w:tcPr>
          <w:p w14:paraId="1474A152" w14:textId="3160DCF1" w:rsidR="00750F72" w:rsidRPr="00750F72" w:rsidRDefault="002A49D1" w:rsidP="00E804B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0.5</w:t>
            </w:r>
          </w:p>
        </w:tc>
      </w:tr>
    </w:tbl>
    <w:p w14:paraId="0CCBFAED" w14:textId="77777777" w:rsidR="0002370E" w:rsidRDefault="0002370E" w:rsidP="00E804B2">
      <w:pPr>
        <w:jc w:val="both"/>
        <w:rPr>
          <w:rFonts w:ascii="Cambria" w:hAnsi="Cambria" w:cs="Times New Roman"/>
          <w:color w:val="auto"/>
        </w:rPr>
      </w:pPr>
    </w:p>
    <w:p w14:paraId="02313F81" w14:textId="77777777" w:rsidR="005B455A" w:rsidRPr="00E804B2" w:rsidRDefault="005B455A" w:rsidP="00E804B2">
      <w:pPr>
        <w:jc w:val="both"/>
        <w:rPr>
          <w:rFonts w:ascii="Cambria" w:hAnsi="Cambria" w:cs="Times New Roman"/>
          <w:color w:val="auto"/>
        </w:rPr>
      </w:pPr>
    </w:p>
    <w:p w14:paraId="34CB28F1" w14:textId="3EA03031" w:rsidR="00CC30F6" w:rsidRPr="00E804B2" w:rsidRDefault="00D822E6" w:rsidP="00B92993">
      <w:pPr>
        <w:rPr>
          <w:rFonts w:ascii="Cambria" w:hAnsi="Cambria"/>
          <w:b/>
          <w:color w:val="FF0000"/>
          <w:sz w:val="28"/>
          <w:szCs w:val="28"/>
          <w:u w:val="single"/>
        </w:rPr>
      </w:pPr>
      <w:r>
        <w:rPr>
          <w:rFonts w:ascii="Cambria" w:hAnsi="Cambria"/>
          <w:b/>
          <w:color w:val="FF0000"/>
          <w:sz w:val="28"/>
          <w:szCs w:val="28"/>
          <w:u w:val="single"/>
        </w:rPr>
        <w:t xml:space="preserve">The </w:t>
      </w:r>
      <w:r w:rsidR="00CC30F6" w:rsidRPr="00E804B2">
        <w:rPr>
          <w:rFonts w:ascii="Cambria" w:hAnsi="Cambria"/>
          <w:b/>
          <w:color w:val="FF0000"/>
          <w:sz w:val="28"/>
          <w:szCs w:val="28"/>
          <w:u w:val="single"/>
        </w:rPr>
        <w:t xml:space="preserve">Deutsche Bank Proposal </w:t>
      </w:r>
    </w:p>
    <w:p w14:paraId="70EE7665" w14:textId="42455910" w:rsidR="00CC30F6" w:rsidRPr="0048581B" w:rsidRDefault="00536CB1" w:rsidP="00B92993">
      <w:pPr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On ___</w:t>
      </w:r>
      <w:r w:rsidR="00D822E6">
        <w:rPr>
          <w:rFonts w:ascii="Cambria" w:hAnsi="Cambria"/>
          <w:color w:val="auto"/>
        </w:rPr>
        <w:t xml:space="preserve"> ,</w:t>
      </w:r>
      <w:r>
        <w:rPr>
          <w:rFonts w:ascii="Cambria" w:hAnsi="Cambria"/>
          <w:color w:val="auto"/>
        </w:rPr>
        <w:t xml:space="preserve"> the company received </w:t>
      </w:r>
      <w:r w:rsidR="00D822E6">
        <w:rPr>
          <w:rFonts w:ascii="Cambria" w:hAnsi="Cambria"/>
          <w:color w:val="auto"/>
        </w:rPr>
        <w:t xml:space="preserve">a </w:t>
      </w:r>
      <w:r>
        <w:rPr>
          <w:rFonts w:ascii="Cambria" w:hAnsi="Cambria"/>
          <w:color w:val="auto"/>
        </w:rPr>
        <w:t xml:space="preserve">DR proposal from Deutsche Bank (“DB”). </w:t>
      </w:r>
      <w:r w:rsidR="00D822E6">
        <w:rPr>
          <w:rFonts w:ascii="Cambria" w:hAnsi="Cambria"/>
          <w:color w:val="auto"/>
        </w:rPr>
        <w:t xml:space="preserve">  </w:t>
      </w:r>
      <w:r w:rsidR="00CC30F6" w:rsidRPr="0048581B">
        <w:rPr>
          <w:rFonts w:ascii="Cambria" w:hAnsi="Cambria"/>
          <w:color w:val="auto"/>
        </w:rPr>
        <w:t xml:space="preserve">We carefully reviewed </w:t>
      </w:r>
      <w:r w:rsidR="00C0581A">
        <w:rPr>
          <w:rFonts w:ascii="Cambria" w:hAnsi="Cambria"/>
          <w:color w:val="auto"/>
        </w:rPr>
        <w:t>it</w:t>
      </w:r>
      <w:r w:rsidR="00CC30F6" w:rsidRPr="0048581B">
        <w:rPr>
          <w:rFonts w:ascii="Cambria" w:hAnsi="Cambria"/>
          <w:color w:val="auto"/>
        </w:rPr>
        <w:t xml:space="preserve"> and </w:t>
      </w:r>
      <w:r w:rsidR="005945E9" w:rsidRPr="0048581B">
        <w:rPr>
          <w:rFonts w:ascii="Cambria" w:hAnsi="Cambria"/>
          <w:color w:val="auto"/>
        </w:rPr>
        <w:t xml:space="preserve">identified </w:t>
      </w:r>
      <w:r w:rsidR="00D822E6">
        <w:rPr>
          <w:rFonts w:ascii="Cambria" w:hAnsi="Cambria"/>
          <w:color w:val="auto"/>
        </w:rPr>
        <w:t>its</w:t>
      </w:r>
      <w:r w:rsidR="00D822E6" w:rsidRPr="0048581B">
        <w:rPr>
          <w:rFonts w:ascii="Cambria" w:hAnsi="Cambria"/>
          <w:color w:val="auto"/>
        </w:rPr>
        <w:t xml:space="preserve"> </w:t>
      </w:r>
      <w:r w:rsidR="005945E9" w:rsidRPr="0048581B">
        <w:rPr>
          <w:rFonts w:ascii="Cambria" w:hAnsi="Cambria"/>
          <w:color w:val="auto"/>
        </w:rPr>
        <w:t>key</w:t>
      </w:r>
      <w:r w:rsidR="00CC30F6" w:rsidRPr="0048581B">
        <w:rPr>
          <w:rFonts w:ascii="Cambria" w:hAnsi="Cambria"/>
          <w:color w:val="auto"/>
        </w:rPr>
        <w:t xml:space="preserve"> </w:t>
      </w:r>
      <w:r w:rsidR="005945E9" w:rsidRPr="0048581B">
        <w:rPr>
          <w:rFonts w:ascii="Cambria" w:hAnsi="Cambria"/>
          <w:color w:val="auto"/>
        </w:rPr>
        <w:t>advantages and disadvantages.</w:t>
      </w:r>
      <w:r>
        <w:rPr>
          <w:rFonts w:ascii="Cambria" w:hAnsi="Cambria"/>
          <w:color w:val="auto"/>
        </w:rPr>
        <w:t xml:space="preserve"> </w:t>
      </w:r>
      <w:r w:rsidR="00D822E6">
        <w:rPr>
          <w:rFonts w:ascii="Cambria" w:hAnsi="Cambria"/>
          <w:color w:val="auto"/>
        </w:rPr>
        <w:t xml:space="preserve">  In the table below, we provide a </w:t>
      </w:r>
      <w:r>
        <w:rPr>
          <w:rFonts w:ascii="Cambria" w:hAnsi="Cambria"/>
          <w:color w:val="auto"/>
        </w:rPr>
        <w:t xml:space="preserve">short summary of </w:t>
      </w:r>
      <w:r w:rsidR="00D822E6">
        <w:rPr>
          <w:rFonts w:ascii="Cambria" w:hAnsi="Cambria"/>
          <w:color w:val="auto"/>
        </w:rPr>
        <w:t xml:space="preserve">the proposal’s </w:t>
      </w:r>
      <w:r>
        <w:rPr>
          <w:rFonts w:ascii="Cambria" w:hAnsi="Cambria"/>
          <w:color w:val="auto"/>
        </w:rPr>
        <w:t xml:space="preserve">strong and weak points. </w:t>
      </w:r>
      <w:r w:rsidR="005945E9" w:rsidRPr="0048581B">
        <w:rPr>
          <w:rFonts w:ascii="Cambria" w:hAnsi="Cambria"/>
          <w:color w:val="auto"/>
        </w:rPr>
        <w:t xml:space="preserve"> </w:t>
      </w:r>
      <w:r w:rsidR="00CC30F6" w:rsidRPr="0048581B">
        <w:rPr>
          <w:rFonts w:ascii="Cambria" w:hAnsi="Cambria"/>
          <w:color w:val="auto"/>
        </w:rPr>
        <w:t xml:space="preserve"> </w:t>
      </w:r>
    </w:p>
    <w:tbl>
      <w:tblPr>
        <w:tblStyle w:val="TableGrid"/>
        <w:tblW w:w="4899" w:type="pct"/>
        <w:tblLook w:val="00A0" w:firstRow="1" w:lastRow="0" w:firstColumn="1" w:lastColumn="0" w:noHBand="0" w:noVBand="0"/>
      </w:tblPr>
      <w:tblGrid>
        <w:gridCol w:w="5220"/>
        <w:gridCol w:w="5221"/>
      </w:tblGrid>
      <w:tr w:rsidR="00357414" w14:paraId="63BDC3A8" w14:textId="77777777" w:rsidTr="00E80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7410086" w14:textId="79769865" w:rsidR="00357414" w:rsidRPr="00E804B2" w:rsidRDefault="004229EE" w:rsidP="008D2BE4">
            <w:pPr>
              <w:spacing w:after="0"/>
              <w:jc w:val="center"/>
              <w:rPr>
                <w:rFonts w:ascii="Cambria" w:hAnsi="Cambria"/>
                <w:b/>
                <w:color w:val="FF0000"/>
                <w:sz w:val="32"/>
                <w:szCs w:val="32"/>
              </w:rPr>
            </w:pPr>
            <w:r w:rsidRPr="00E804B2">
              <w:rPr>
                <w:rFonts w:ascii="Cambria" w:hAnsi="Cambria"/>
                <w:b/>
                <w:color w:val="FF0000"/>
                <w:sz w:val="32"/>
                <w:szCs w:val="32"/>
              </w:rPr>
              <w:t>Non-Financial</w:t>
            </w:r>
            <w:r w:rsidR="00357414" w:rsidRPr="00E804B2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 Section</w:t>
            </w:r>
          </w:p>
        </w:tc>
      </w:tr>
      <w:tr w:rsidR="00EA3CB6" w14:paraId="20569838" w14:textId="77777777">
        <w:trPr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207FFF7" w14:textId="403F1051" w:rsidR="00EA3CB6" w:rsidRPr="00B166C5" w:rsidRDefault="00E042E0" w:rsidP="005B0233">
            <w:pPr>
              <w:spacing w:after="120"/>
              <w:jc w:val="center"/>
              <w:rPr>
                <w:rFonts w:ascii="Cambria" w:hAnsi="Cambria"/>
                <w:color w:val="FF0000"/>
                <w:sz w:val="48"/>
              </w:rPr>
            </w:pPr>
            <w:r>
              <w:rPr>
                <w:rFonts w:ascii="Cambria" w:hAnsi="Cambria"/>
                <w:noProof/>
                <w:color w:val="FF0000"/>
                <w:sz w:val="4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4E61D2A9" wp14:editId="16AB5513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0</wp:posOffset>
                      </wp:positionV>
                      <wp:extent cx="571500" cy="403225"/>
                      <wp:effectExtent l="0" t="0" r="12700" b="53975"/>
                      <wp:wrapThrough wrapText="bothSides">
                        <wp:wrapPolygon edited="0">
                          <wp:start x="6720" y="1361"/>
                          <wp:lineTo x="1920" y="10885"/>
                          <wp:lineTo x="1920" y="17688"/>
                          <wp:lineTo x="6720" y="23131"/>
                          <wp:lineTo x="15360" y="23131"/>
                          <wp:lineTo x="21120" y="19049"/>
                          <wp:lineTo x="21120" y="9524"/>
                          <wp:lineTo x="15360" y="1361"/>
                          <wp:lineTo x="6720" y="1361"/>
                        </wp:wrapPolygon>
                      </wp:wrapThrough>
                      <wp:docPr id="13" name="Plu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032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ED1C24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Plus 13" o:spid="_x0000_s1026" style="position:absolute;margin-left:90pt;margin-top:0;width:45pt;height:31.75pt;z-index:25206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71500,403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" path="m75752,154193l238331,154193,238331,53447,333169,53447,333169,154193,495748,154193,495748,249032,333169,249032,333169,349778,238331,349778,238331,249032,75752,249032,75752,154193xe" fillcolor="#ed1c24" strokecolor="#4579b8 [3044]">
                      <v:shadow on="t" opacity="22937f" mv:blur="40000f" origin=",.5" offset="0,23000emu"/>
                      <v:path arrowok="t" o:connecttype="custom" o:connectlocs="75752,154193;238331,154193;238331,53447;333169,53447;333169,154193;495748,154193;495748,249032;333169,249032;333169,349778;238331,349778;238331,249032;75752,249032;75752,154193" o:connectangles="0,0,0,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500" w:type="pct"/>
          </w:tcPr>
          <w:p w14:paraId="07F36AD8" w14:textId="001A7B84" w:rsidR="00EA3CB6" w:rsidRPr="00B166C5" w:rsidRDefault="00E042E0" w:rsidP="005B023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48"/>
              </w:rPr>
            </w:pPr>
            <w:r>
              <w:rPr>
                <w:rFonts w:ascii="Cambria" w:hAnsi="Cambria"/>
                <w:noProof/>
                <w:color w:val="FF0000"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1301391E" wp14:editId="7F7FD1C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60325</wp:posOffset>
                      </wp:positionV>
                      <wp:extent cx="800100" cy="228600"/>
                      <wp:effectExtent l="0" t="0" r="0" b="25400"/>
                      <wp:wrapThrough wrapText="bothSides">
                        <wp:wrapPolygon edited="0">
                          <wp:start x="1371" y="4800"/>
                          <wp:lineTo x="1371" y="21600"/>
                          <wp:lineTo x="20571" y="21600"/>
                          <wp:lineTo x="20571" y="4800"/>
                          <wp:lineTo x="1371" y="4800"/>
                        </wp:wrapPolygon>
                      </wp:wrapThrough>
                      <wp:docPr id="12" name="Minu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28600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ED1C24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Minus 12" o:spid="_x0000_s1026" style="position:absolute;margin-left:90pt;margin-top:4.75pt;width:63pt;height:18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" path="m106053,87417l694047,87417,694047,141183,106053,141183,106053,87417xe" fillcolor="#ed1c24" strokecolor="#4579b8 [3044]">
                      <v:shadow on="t" opacity="22937f" mv:blur="40000f" origin=",.5" offset="0,23000emu"/>
                      <v:path arrowok="t" o:connecttype="custom" o:connectlocs="106053,87417;694047,87417;694047,141183;106053,141183;106053,87417" o:connectangles="0,0,0,0,0"/>
                      <w10:wrap type="through"/>
                    </v:shape>
                  </w:pict>
                </mc:Fallback>
              </mc:AlternateContent>
            </w:r>
          </w:p>
        </w:tc>
      </w:tr>
      <w:tr w:rsidR="005B0233" w14:paraId="0A61A777" w14:textId="77777777" w:rsidTr="006841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51A6C35" w14:textId="77777777" w:rsidR="008D2BE4" w:rsidRPr="00E042E0" w:rsidRDefault="005B0233" w:rsidP="008D2BE4">
            <w:pPr>
              <w:spacing w:before="0" w:after="0"/>
              <w:rPr>
                <w:rFonts w:ascii="Cambria" w:hAnsi="Cambria"/>
                <w:b/>
                <w:color w:val="auto"/>
                <w:szCs w:val="24"/>
                <w:u w:val="single"/>
              </w:rPr>
            </w:pPr>
            <w:r w:rsidRPr="00E042E0">
              <w:rPr>
                <w:rFonts w:ascii="Cambria" w:hAnsi="Cambria"/>
                <w:b/>
                <w:color w:val="auto"/>
                <w:szCs w:val="24"/>
                <w:u w:val="single"/>
              </w:rPr>
              <w:t>Local Presence:</w:t>
            </w:r>
            <w:r w:rsidR="00B166C5" w:rsidRPr="00E042E0">
              <w:rPr>
                <w:rFonts w:ascii="Cambria" w:hAnsi="Cambria"/>
                <w:b/>
                <w:color w:val="auto"/>
                <w:szCs w:val="24"/>
                <w:u w:val="single"/>
              </w:rPr>
              <w:t xml:space="preserve"> </w:t>
            </w:r>
          </w:p>
          <w:p w14:paraId="51B60FF9" w14:textId="77777777" w:rsidR="0048581B" w:rsidRPr="00E042E0" w:rsidRDefault="00C13D4C" w:rsidP="0048581B">
            <w:pPr>
              <w:pStyle w:val="ListParagraph"/>
              <w:numPr>
                <w:ilvl w:val="0"/>
                <w:numId w:val="23"/>
              </w:numPr>
              <w:spacing w:before="0" w:after="0"/>
              <w:rPr>
                <w:rFonts w:ascii="Cambria" w:hAnsi="Cambria"/>
                <w:color w:val="auto"/>
                <w:szCs w:val="24"/>
              </w:rPr>
            </w:pPr>
            <w:r w:rsidRPr="00E042E0">
              <w:rPr>
                <w:rFonts w:ascii="Cambria" w:hAnsi="Cambria"/>
                <w:color w:val="auto"/>
                <w:szCs w:val="24"/>
              </w:rPr>
              <w:t xml:space="preserve">DB has a Russian subsidiary entity in Moscow. </w:t>
            </w:r>
          </w:p>
          <w:p w14:paraId="508F9611" w14:textId="75083D86" w:rsidR="005B0233" w:rsidRPr="00E042E0" w:rsidRDefault="00567624">
            <w:pPr>
              <w:pStyle w:val="ListParagraph"/>
              <w:numPr>
                <w:ilvl w:val="0"/>
                <w:numId w:val="23"/>
              </w:numPr>
              <w:spacing w:before="0" w:after="0"/>
              <w:rPr>
                <w:rFonts w:ascii="Cambria" w:hAnsi="Cambria"/>
                <w:b/>
                <w:color w:val="auto"/>
                <w:szCs w:val="24"/>
                <w:u w:val="single"/>
              </w:rPr>
            </w:pPr>
            <w:r w:rsidRPr="00E042E0">
              <w:rPr>
                <w:rFonts w:ascii="Cambria" w:hAnsi="Cambria"/>
                <w:color w:val="auto"/>
                <w:szCs w:val="24"/>
              </w:rPr>
              <w:t>T</w:t>
            </w:r>
            <w:r w:rsidR="00047A8E">
              <w:rPr>
                <w:rFonts w:ascii="Cambria" w:hAnsi="Cambria"/>
                <w:color w:val="auto"/>
                <w:szCs w:val="24"/>
              </w:rPr>
              <w:t>he t</w:t>
            </w:r>
            <w:r w:rsidR="00C13D4C" w:rsidRPr="00E042E0">
              <w:rPr>
                <w:rFonts w:ascii="Cambria" w:hAnsi="Cambria"/>
                <w:color w:val="auto"/>
                <w:szCs w:val="24"/>
              </w:rPr>
              <w:t xml:space="preserve">otal number of </w:t>
            </w:r>
            <w:r w:rsidR="00577D1C">
              <w:rPr>
                <w:rFonts w:ascii="Cambria" w:hAnsi="Cambria"/>
                <w:color w:val="auto"/>
                <w:szCs w:val="24"/>
              </w:rPr>
              <w:t>employees</w:t>
            </w:r>
            <w:r w:rsidR="00577D1C" w:rsidRPr="00E042E0">
              <w:rPr>
                <w:rFonts w:ascii="Cambria" w:hAnsi="Cambria"/>
                <w:color w:val="auto"/>
                <w:szCs w:val="24"/>
              </w:rPr>
              <w:t xml:space="preserve"> </w:t>
            </w:r>
            <w:r w:rsidR="00C13D4C" w:rsidRPr="00E042E0">
              <w:rPr>
                <w:rFonts w:ascii="Cambria" w:hAnsi="Cambria"/>
                <w:color w:val="auto"/>
                <w:szCs w:val="24"/>
              </w:rPr>
              <w:t xml:space="preserve">in DB’s Moscow office is XXXX. </w:t>
            </w:r>
            <w:r w:rsidR="00047A8E">
              <w:rPr>
                <w:rFonts w:ascii="Cambria" w:hAnsi="Cambria"/>
                <w:color w:val="auto"/>
                <w:szCs w:val="24"/>
              </w:rPr>
              <w:t xml:space="preserve">  </w:t>
            </w:r>
            <w:r w:rsidR="00C13D4C" w:rsidRPr="00E042E0">
              <w:rPr>
                <w:rFonts w:ascii="Cambria" w:hAnsi="Cambria"/>
                <w:color w:val="auto"/>
                <w:szCs w:val="24"/>
              </w:rPr>
              <w:t>There are t</w:t>
            </w:r>
            <w:r w:rsidR="005B0233" w:rsidRPr="00E042E0">
              <w:rPr>
                <w:rFonts w:ascii="Cambria" w:hAnsi="Cambria"/>
                <w:color w:val="auto"/>
                <w:szCs w:val="24"/>
              </w:rPr>
              <w:t xml:space="preserve">wo Relationship Managers in DB’s Moscow Office. </w:t>
            </w:r>
          </w:p>
        </w:tc>
        <w:tc>
          <w:tcPr>
            <w:tcW w:w="2500" w:type="pct"/>
          </w:tcPr>
          <w:p w14:paraId="2F7CDACD" w14:textId="77777777" w:rsidR="005E4EF7" w:rsidRPr="00E042E0" w:rsidRDefault="009402EF" w:rsidP="005E4EF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color w:val="auto"/>
                <w:szCs w:val="24"/>
                <w:u w:val="single"/>
              </w:rPr>
            </w:pPr>
            <w:r w:rsidRPr="00E042E0">
              <w:rPr>
                <w:rFonts w:ascii="Cambria" w:hAnsi="Cambria"/>
                <w:b/>
                <w:color w:val="auto"/>
                <w:szCs w:val="24"/>
                <w:u w:val="single"/>
              </w:rPr>
              <w:t xml:space="preserve">DB Credentials: </w:t>
            </w:r>
          </w:p>
          <w:p w14:paraId="63E2AF08" w14:textId="582D4500" w:rsidR="005B0233" w:rsidRPr="00E042E0" w:rsidRDefault="005B0233" w:rsidP="00C518A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iCs/>
                <w:color w:val="auto"/>
                <w:spacing w:val="15"/>
                <w:szCs w:val="24"/>
                <w:u w:val="single"/>
              </w:rPr>
            </w:pPr>
            <w:r w:rsidRPr="00E042E0">
              <w:rPr>
                <w:rFonts w:ascii="Cambria" w:hAnsi="Cambria"/>
                <w:color w:val="auto"/>
                <w:szCs w:val="24"/>
              </w:rPr>
              <w:t xml:space="preserve">We found several mistakes in </w:t>
            </w:r>
            <w:r w:rsidR="00E23D30" w:rsidRPr="00E042E0">
              <w:rPr>
                <w:rFonts w:ascii="Cambria" w:hAnsi="Cambria"/>
                <w:color w:val="auto"/>
                <w:szCs w:val="24"/>
              </w:rPr>
              <w:t xml:space="preserve">the portfolio of </w:t>
            </w:r>
            <w:r w:rsidR="005E4EF7" w:rsidRPr="00E042E0">
              <w:rPr>
                <w:rFonts w:ascii="Cambria" w:hAnsi="Cambria"/>
                <w:color w:val="auto"/>
                <w:szCs w:val="24"/>
              </w:rPr>
              <w:t>DB clients</w:t>
            </w:r>
            <w:r w:rsidR="00E23D30" w:rsidRPr="00E042E0">
              <w:rPr>
                <w:rFonts w:ascii="Cambria" w:hAnsi="Cambria"/>
                <w:color w:val="auto"/>
                <w:szCs w:val="24"/>
              </w:rPr>
              <w:t xml:space="preserve"> in Russia</w:t>
            </w:r>
            <w:r w:rsidR="005E4EF7" w:rsidRPr="00E042E0">
              <w:rPr>
                <w:rFonts w:ascii="Cambria" w:hAnsi="Cambria"/>
                <w:color w:val="auto"/>
                <w:szCs w:val="24"/>
              </w:rPr>
              <w:t>.  (</w:t>
            </w:r>
            <w:r w:rsidR="00047A8E">
              <w:rPr>
                <w:rFonts w:ascii="Cambria" w:hAnsi="Cambria"/>
                <w:color w:val="auto"/>
                <w:szCs w:val="24"/>
              </w:rPr>
              <w:t>See page</w:t>
            </w:r>
            <w:r w:rsidR="005E4EF7" w:rsidRPr="00E042E0">
              <w:rPr>
                <w:rFonts w:ascii="Cambria" w:hAnsi="Cambria"/>
                <w:color w:val="auto"/>
                <w:szCs w:val="24"/>
              </w:rPr>
              <w:t xml:space="preserve"> 5</w:t>
            </w:r>
            <w:r w:rsidR="00047A8E">
              <w:rPr>
                <w:rFonts w:ascii="Cambria" w:hAnsi="Cambria"/>
                <w:color w:val="auto"/>
                <w:szCs w:val="24"/>
              </w:rPr>
              <w:t>.</w:t>
            </w:r>
            <w:r w:rsidR="005E4EF7" w:rsidRPr="00E042E0">
              <w:rPr>
                <w:rFonts w:ascii="Cambria" w:hAnsi="Cambria"/>
                <w:color w:val="auto"/>
                <w:szCs w:val="24"/>
              </w:rPr>
              <w:t xml:space="preserve">) </w:t>
            </w:r>
            <w:r w:rsidR="00047A8E">
              <w:rPr>
                <w:rFonts w:ascii="Cambria" w:hAnsi="Cambria"/>
                <w:color w:val="auto"/>
                <w:szCs w:val="24"/>
              </w:rPr>
              <w:t xml:space="preserve"> </w:t>
            </w:r>
            <w:r w:rsidRPr="00E042E0">
              <w:rPr>
                <w:rFonts w:ascii="Cambria" w:hAnsi="Cambria"/>
                <w:color w:val="auto"/>
                <w:szCs w:val="24"/>
              </w:rPr>
              <w:t>F</w:t>
            </w:r>
            <w:r w:rsidR="0048581B" w:rsidRPr="00E042E0">
              <w:rPr>
                <w:rFonts w:ascii="Cambria" w:hAnsi="Cambria"/>
                <w:color w:val="auto"/>
                <w:szCs w:val="24"/>
              </w:rPr>
              <w:t xml:space="preserve">SK and Kalina are no longer </w:t>
            </w:r>
            <w:r w:rsidRPr="00E042E0">
              <w:rPr>
                <w:rFonts w:ascii="Cambria" w:hAnsi="Cambria"/>
                <w:color w:val="auto"/>
                <w:szCs w:val="24"/>
              </w:rPr>
              <w:t>DB</w:t>
            </w:r>
            <w:r w:rsidR="0048581B" w:rsidRPr="00E042E0">
              <w:rPr>
                <w:rFonts w:ascii="Cambria" w:hAnsi="Cambria"/>
                <w:color w:val="auto"/>
                <w:szCs w:val="24"/>
              </w:rPr>
              <w:t>’s clients</w:t>
            </w:r>
            <w:r w:rsidR="00047A8E">
              <w:rPr>
                <w:rFonts w:ascii="Cambria" w:hAnsi="Cambria"/>
                <w:color w:val="auto"/>
                <w:szCs w:val="24"/>
              </w:rPr>
              <w:t>.</w:t>
            </w:r>
          </w:p>
        </w:tc>
      </w:tr>
      <w:tr w:rsidR="005B0233" w14:paraId="1DFD0C3C" w14:textId="77777777">
        <w:trPr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8BB21CF" w14:textId="77777777" w:rsidR="00C521EF" w:rsidRPr="00E042E0" w:rsidRDefault="005B0233" w:rsidP="00DC4919">
            <w:pPr>
              <w:rPr>
                <w:rFonts w:asciiTheme="majorHAnsi" w:hAnsiTheme="majorHAnsi"/>
                <w:b/>
                <w:color w:val="auto"/>
                <w:szCs w:val="24"/>
                <w:u w:val="single"/>
              </w:rPr>
            </w:pPr>
            <w:r w:rsidRPr="00E042E0">
              <w:rPr>
                <w:rFonts w:asciiTheme="majorHAnsi" w:hAnsiTheme="majorHAnsi"/>
                <w:b/>
                <w:color w:val="auto"/>
                <w:szCs w:val="24"/>
                <w:u w:val="single"/>
              </w:rPr>
              <w:t>Awards:</w:t>
            </w:r>
          </w:p>
          <w:p w14:paraId="7E0CCC26" w14:textId="1547575D" w:rsidR="00C521EF" w:rsidRPr="00E042E0" w:rsidRDefault="005B0233" w:rsidP="00C521E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/>
                <w:color w:val="auto"/>
                <w:szCs w:val="24"/>
                <w:u w:val="single"/>
              </w:rPr>
            </w:pPr>
            <w:r w:rsidRPr="00E042E0">
              <w:rPr>
                <w:rFonts w:asciiTheme="majorHAnsi" w:hAnsiTheme="majorHAnsi"/>
                <w:color w:val="auto"/>
                <w:szCs w:val="24"/>
              </w:rPr>
              <w:t>No.1 ranked US Transfer Agent</w:t>
            </w:r>
            <w:r w:rsidR="00577D1C">
              <w:rPr>
                <w:rFonts w:asciiTheme="majorHAnsi" w:hAnsiTheme="majorHAnsi"/>
                <w:color w:val="auto"/>
                <w:szCs w:val="24"/>
              </w:rPr>
              <w:t>,</w:t>
            </w:r>
            <w:r w:rsidRPr="00E042E0">
              <w:rPr>
                <w:rFonts w:asciiTheme="majorHAnsi" w:hAnsiTheme="majorHAnsi"/>
                <w:color w:val="auto"/>
                <w:szCs w:val="24"/>
              </w:rPr>
              <w:t xml:space="preserve"> seamlessly </w:t>
            </w:r>
            <w:r w:rsidR="00C521EF" w:rsidRPr="00E042E0">
              <w:rPr>
                <w:rFonts w:asciiTheme="majorHAnsi" w:hAnsiTheme="majorHAnsi"/>
                <w:color w:val="auto"/>
                <w:szCs w:val="24"/>
              </w:rPr>
              <w:t>servicing Norilsk Nickel registered holders</w:t>
            </w:r>
            <w:r w:rsidR="00577D1C">
              <w:rPr>
                <w:rFonts w:asciiTheme="majorHAnsi" w:hAnsiTheme="majorHAnsi"/>
                <w:color w:val="auto"/>
                <w:szCs w:val="24"/>
              </w:rPr>
              <w:t>.</w:t>
            </w:r>
          </w:p>
          <w:p w14:paraId="4C00D8B9" w14:textId="77777777" w:rsidR="00C521EF" w:rsidRPr="00E042E0" w:rsidRDefault="00C521EF" w:rsidP="00C521EF">
            <w:pPr>
              <w:pStyle w:val="ListParagraph"/>
              <w:rPr>
                <w:rFonts w:asciiTheme="majorHAnsi" w:hAnsiTheme="majorHAnsi"/>
                <w:b/>
                <w:color w:val="auto"/>
                <w:szCs w:val="24"/>
                <w:u w:val="single"/>
              </w:rPr>
            </w:pPr>
          </w:p>
          <w:p w14:paraId="5787020E" w14:textId="77777777" w:rsidR="00C521EF" w:rsidRPr="00E042E0" w:rsidRDefault="00C521EF" w:rsidP="00B166C5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  <w:szCs w:val="24"/>
              </w:rPr>
            </w:pPr>
            <w:r w:rsidRPr="00E042E0">
              <w:rPr>
                <w:rFonts w:asciiTheme="majorHAnsi" w:hAnsiTheme="majorHAnsi"/>
                <w:bCs/>
                <w:color w:val="auto"/>
                <w:szCs w:val="24"/>
              </w:rPr>
              <w:t>“Best Depositary Receipt (DR) Program</w:t>
            </w:r>
          </w:p>
          <w:p w14:paraId="7166AC8C" w14:textId="59AEDDBA" w:rsidR="00C521EF" w:rsidRPr="00E042E0" w:rsidRDefault="00C521EF" w:rsidP="00C521EF">
            <w:pPr>
              <w:pStyle w:val="ListParagraph"/>
              <w:rPr>
                <w:rFonts w:ascii="Arial" w:hAnsi="Arial"/>
                <w:szCs w:val="24"/>
              </w:rPr>
            </w:pPr>
            <w:r w:rsidRPr="00E042E0">
              <w:rPr>
                <w:rFonts w:asciiTheme="majorHAnsi" w:hAnsiTheme="majorHAnsi"/>
                <w:bCs/>
                <w:color w:val="auto"/>
                <w:szCs w:val="24"/>
              </w:rPr>
              <w:t xml:space="preserve">in EMEA” </w:t>
            </w:r>
            <w:r w:rsidRPr="00E042E0">
              <w:rPr>
                <w:rFonts w:asciiTheme="majorHAnsi" w:hAnsiTheme="majorHAnsi"/>
                <w:color w:val="auto"/>
                <w:szCs w:val="24"/>
              </w:rPr>
              <w:t xml:space="preserve">for 2011 and 2012. </w:t>
            </w:r>
            <w:r w:rsidR="00577D1C">
              <w:rPr>
                <w:rFonts w:asciiTheme="majorHAnsi" w:hAnsiTheme="majorHAnsi"/>
                <w:color w:val="auto"/>
                <w:szCs w:val="24"/>
              </w:rPr>
              <w:t xml:space="preserve"> </w:t>
            </w:r>
            <w:r w:rsidRPr="00E042E0">
              <w:rPr>
                <w:rFonts w:asciiTheme="majorHAnsi" w:hAnsiTheme="majorHAnsi"/>
                <w:color w:val="auto"/>
                <w:szCs w:val="24"/>
              </w:rPr>
              <w:t>Deutsche</w:t>
            </w:r>
          </w:p>
          <w:p w14:paraId="0AF6726B" w14:textId="79C948EE" w:rsidR="005B0233" w:rsidRPr="00E042E0" w:rsidRDefault="00C521EF" w:rsidP="00C518AF">
            <w:pPr>
              <w:pStyle w:val="ListParagraph"/>
              <w:rPr>
                <w:rFonts w:ascii="Arial" w:eastAsiaTheme="majorEastAsia" w:hAnsi="Arial" w:cstheme="majorBidi"/>
                <w:b/>
                <w:iCs/>
                <w:spacing w:val="15"/>
                <w:szCs w:val="24"/>
              </w:rPr>
            </w:pPr>
            <w:r w:rsidRPr="00E042E0">
              <w:rPr>
                <w:rFonts w:asciiTheme="majorHAnsi" w:hAnsiTheme="majorHAnsi"/>
                <w:color w:val="auto"/>
                <w:szCs w:val="24"/>
              </w:rPr>
              <w:t xml:space="preserve">Bank received the EMEA Finance Achievement Award for </w:t>
            </w:r>
            <w:r w:rsidR="00577D1C">
              <w:rPr>
                <w:rFonts w:asciiTheme="majorHAnsi" w:hAnsiTheme="majorHAnsi"/>
                <w:color w:val="auto"/>
                <w:szCs w:val="24"/>
              </w:rPr>
              <w:t>its</w:t>
            </w:r>
            <w:r w:rsidR="00577D1C" w:rsidRPr="00E042E0">
              <w:rPr>
                <w:rFonts w:asciiTheme="majorHAnsi" w:hAnsiTheme="majorHAnsi"/>
                <w:color w:val="auto"/>
                <w:szCs w:val="24"/>
              </w:rPr>
              <w:t xml:space="preserve"> </w:t>
            </w:r>
            <w:r w:rsidRPr="00E042E0">
              <w:rPr>
                <w:rFonts w:asciiTheme="majorHAnsi" w:hAnsiTheme="majorHAnsi"/>
                <w:color w:val="auto"/>
                <w:szCs w:val="24"/>
              </w:rPr>
              <w:t xml:space="preserve">role </w:t>
            </w:r>
            <w:r w:rsidR="00577D1C">
              <w:rPr>
                <w:rFonts w:asciiTheme="majorHAnsi" w:hAnsiTheme="majorHAnsi"/>
                <w:color w:val="auto"/>
                <w:szCs w:val="24"/>
              </w:rPr>
              <w:t>i</w:t>
            </w:r>
            <w:r w:rsidRPr="00E042E0">
              <w:rPr>
                <w:rFonts w:asciiTheme="majorHAnsi" w:hAnsiTheme="majorHAnsi"/>
                <w:color w:val="auto"/>
                <w:szCs w:val="24"/>
              </w:rPr>
              <w:t>n the Kcell JSC Global Depositary Receipt (GDR) program from Kazakhstan in 2012 and the Nomos Bank Global Depositary Receipt (GDR) program from Russia in 2011</w:t>
            </w:r>
            <w:r w:rsidR="00577D1C">
              <w:rPr>
                <w:rFonts w:asciiTheme="majorHAnsi" w:hAnsiTheme="majorHAnsi"/>
                <w:color w:val="auto"/>
                <w:szCs w:val="24"/>
              </w:rPr>
              <w:t>.</w:t>
            </w:r>
          </w:p>
        </w:tc>
        <w:tc>
          <w:tcPr>
            <w:tcW w:w="2500" w:type="pct"/>
          </w:tcPr>
          <w:p w14:paraId="38B80892" w14:textId="77777777" w:rsidR="00536CB1" w:rsidRPr="00E042E0" w:rsidRDefault="00B166C5" w:rsidP="00536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24"/>
                <w:u w:val="single"/>
              </w:rPr>
            </w:pPr>
            <w:r w:rsidRPr="00536CB1">
              <w:rPr>
                <w:rFonts w:ascii="Cambria" w:hAnsi="Cambria"/>
                <w:color w:val="auto"/>
                <w:szCs w:val="24"/>
              </w:rPr>
              <w:t xml:space="preserve"> </w:t>
            </w:r>
            <w:r w:rsidR="00536CB1" w:rsidRPr="00E042E0">
              <w:rPr>
                <w:rFonts w:asciiTheme="majorHAnsi" w:hAnsiTheme="majorHAnsi"/>
                <w:b/>
                <w:color w:val="auto"/>
                <w:szCs w:val="24"/>
                <w:u w:val="single"/>
              </w:rPr>
              <w:t>Awards:</w:t>
            </w:r>
          </w:p>
          <w:p w14:paraId="57241316" w14:textId="0841EB38" w:rsidR="005B0233" w:rsidRPr="00536CB1" w:rsidRDefault="00536CB1" w:rsidP="00C51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iCs/>
                <w:color w:val="auto"/>
                <w:spacing w:val="15"/>
                <w:szCs w:val="24"/>
              </w:rPr>
            </w:pPr>
            <w:r w:rsidRPr="00536CB1">
              <w:rPr>
                <w:rFonts w:ascii="Cambria" w:hAnsi="Cambria"/>
                <w:color w:val="auto"/>
                <w:szCs w:val="24"/>
              </w:rPr>
              <w:t xml:space="preserve">Despite all of </w:t>
            </w:r>
            <w:r w:rsidR="00577D1C">
              <w:rPr>
                <w:rFonts w:ascii="Cambria" w:hAnsi="Cambria"/>
                <w:color w:val="auto"/>
                <w:szCs w:val="24"/>
              </w:rPr>
              <w:t>its</w:t>
            </w:r>
            <w:r w:rsidR="00577D1C" w:rsidRPr="00536CB1">
              <w:rPr>
                <w:rFonts w:ascii="Cambria" w:hAnsi="Cambria"/>
                <w:color w:val="auto"/>
                <w:szCs w:val="24"/>
              </w:rPr>
              <w:t xml:space="preserve"> </w:t>
            </w:r>
            <w:r w:rsidRPr="00536CB1">
              <w:rPr>
                <w:rFonts w:ascii="Cambria" w:hAnsi="Cambria"/>
                <w:color w:val="auto"/>
                <w:szCs w:val="24"/>
              </w:rPr>
              <w:t>listed awards</w:t>
            </w:r>
            <w:r w:rsidR="00577D1C">
              <w:rPr>
                <w:rFonts w:ascii="Cambria" w:hAnsi="Cambria"/>
                <w:color w:val="auto"/>
                <w:szCs w:val="24"/>
              </w:rPr>
              <w:t>,</w:t>
            </w:r>
            <w:r w:rsidRPr="00536CB1">
              <w:rPr>
                <w:rFonts w:ascii="Cambria" w:hAnsi="Cambria"/>
                <w:color w:val="auto"/>
                <w:szCs w:val="24"/>
              </w:rPr>
              <w:t xml:space="preserve"> DB is ranked </w:t>
            </w:r>
            <w:r w:rsidR="00BD4105">
              <w:rPr>
                <w:rFonts w:ascii="Cambria" w:hAnsi="Cambria"/>
                <w:color w:val="auto"/>
                <w:szCs w:val="24"/>
              </w:rPr>
              <w:t xml:space="preserve">the </w:t>
            </w:r>
            <w:r w:rsidRPr="00536CB1">
              <w:rPr>
                <w:rFonts w:ascii="Cambria" w:hAnsi="Cambria"/>
                <w:color w:val="auto"/>
                <w:szCs w:val="24"/>
              </w:rPr>
              <w:t xml:space="preserve">second depositary bank by </w:t>
            </w:r>
            <w:r w:rsidR="00577D1C">
              <w:rPr>
                <w:rFonts w:ascii="Cambria" w:hAnsi="Cambria"/>
                <w:color w:val="auto"/>
                <w:szCs w:val="24"/>
              </w:rPr>
              <w:t>its</w:t>
            </w:r>
            <w:r w:rsidR="00577D1C" w:rsidRPr="00536CB1">
              <w:rPr>
                <w:rFonts w:ascii="Cambria" w:hAnsi="Cambria"/>
                <w:color w:val="auto"/>
                <w:szCs w:val="24"/>
              </w:rPr>
              <w:t xml:space="preserve"> </w:t>
            </w:r>
            <w:r w:rsidRPr="00536CB1">
              <w:rPr>
                <w:rFonts w:ascii="Cambria" w:hAnsi="Cambria"/>
                <w:color w:val="auto"/>
                <w:szCs w:val="24"/>
              </w:rPr>
              <w:t xml:space="preserve">market share in Russia and global markets.  </w:t>
            </w:r>
          </w:p>
        </w:tc>
      </w:tr>
      <w:tr w:rsidR="005B0233" w14:paraId="0F0C791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28E6635" w14:textId="77777777" w:rsidR="006841C8" w:rsidRDefault="00B166C5" w:rsidP="00DC4919">
            <w:pPr>
              <w:rPr>
                <w:rFonts w:ascii="Cambria" w:hAnsi="Cambria"/>
                <w:b/>
                <w:color w:val="auto"/>
                <w:szCs w:val="24"/>
                <w:u w:val="single"/>
              </w:rPr>
            </w:pPr>
            <w:r w:rsidRPr="00E042E0">
              <w:rPr>
                <w:rFonts w:ascii="Cambria" w:hAnsi="Cambria"/>
                <w:b/>
                <w:color w:val="auto"/>
                <w:szCs w:val="24"/>
                <w:u w:val="single"/>
              </w:rPr>
              <w:t>DR Functional Structure</w:t>
            </w:r>
            <w:r w:rsidR="008D2BE4" w:rsidRPr="00E042E0">
              <w:rPr>
                <w:rFonts w:ascii="Cambria" w:hAnsi="Cambria"/>
                <w:b/>
                <w:color w:val="auto"/>
                <w:szCs w:val="24"/>
                <w:u w:val="single"/>
              </w:rPr>
              <w:t xml:space="preserve">: </w:t>
            </w:r>
            <w:r w:rsidR="00567624" w:rsidRPr="00E042E0">
              <w:rPr>
                <w:rFonts w:ascii="Cambria" w:hAnsi="Cambria"/>
                <w:b/>
                <w:color w:val="auto"/>
                <w:szCs w:val="24"/>
                <w:u w:val="single"/>
              </w:rPr>
              <w:t xml:space="preserve"> </w:t>
            </w:r>
          </w:p>
          <w:p w14:paraId="0FCB1A17" w14:textId="63E96BE1" w:rsidR="005B0233" w:rsidRPr="00E042E0" w:rsidRDefault="00220D0D" w:rsidP="00DC4919">
            <w:pPr>
              <w:rPr>
                <w:rFonts w:ascii="Cambria" w:hAnsi="Cambria"/>
                <w:b/>
                <w:color w:val="auto"/>
                <w:szCs w:val="24"/>
                <w:u w:val="single"/>
              </w:rPr>
            </w:pPr>
            <w:r>
              <w:rPr>
                <w:rFonts w:ascii="Cambria" w:hAnsi="Cambria"/>
                <w:color w:val="auto"/>
                <w:szCs w:val="24"/>
              </w:rPr>
              <w:t xml:space="preserve">The </w:t>
            </w:r>
            <w:r w:rsidR="00B166C5" w:rsidRPr="00E042E0">
              <w:rPr>
                <w:rFonts w:ascii="Cambria" w:hAnsi="Cambria"/>
                <w:color w:val="auto"/>
                <w:szCs w:val="24"/>
              </w:rPr>
              <w:t>DR team consists</w:t>
            </w:r>
            <w:r w:rsidR="00DC4919" w:rsidRPr="00E042E0">
              <w:rPr>
                <w:rFonts w:ascii="Cambria" w:hAnsi="Cambria"/>
                <w:color w:val="auto"/>
                <w:szCs w:val="24"/>
              </w:rPr>
              <w:t xml:space="preserve"> </w:t>
            </w:r>
            <w:r>
              <w:rPr>
                <w:rFonts w:ascii="Cambria" w:hAnsi="Cambria"/>
                <w:color w:val="auto"/>
                <w:szCs w:val="24"/>
              </w:rPr>
              <w:t>of</w:t>
            </w:r>
            <w:r w:rsidRPr="00E042E0">
              <w:rPr>
                <w:rFonts w:ascii="Cambria" w:hAnsi="Cambria"/>
                <w:color w:val="auto"/>
                <w:szCs w:val="24"/>
              </w:rPr>
              <w:t xml:space="preserve"> </w:t>
            </w:r>
            <w:r w:rsidR="00DC4919" w:rsidRPr="00E042E0">
              <w:rPr>
                <w:rFonts w:ascii="Cambria" w:hAnsi="Cambria"/>
                <w:color w:val="auto"/>
                <w:szCs w:val="24"/>
              </w:rPr>
              <w:t>the following business units</w:t>
            </w:r>
            <w:r>
              <w:rPr>
                <w:rFonts w:ascii="Cambria" w:hAnsi="Cambria"/>
                <w:color w:val="auto"/>
                <w:szCs w:val="24"/>
              </w:rPr>
              <w:t>:</w:t>
            </w:r>
            <w:r w:rsidR="00DC4919" w:rsidRPr="00E042E0">
              <w:rPr>
                <w:rFonts w:ascii="Cambria" w:hAnsi="Cambria"/>
                <w:b/>
                <w:color w:val="auto"/>
                <w:szCs w:val="24"/>
              </w:rPr>
              <w:t xml:space="preserve"> </w:t>
            </w:r>
            <w:r w:rsidR="005B0233" w:rsidRPr="00E042E0">
              <w:rPr>
                <w:rFonts w:ascii="Cambria" w:hAnsi="Cambria"/>
                <w:b/>
                <w:color w:val="auto"/>
                <w:szCs w:val="24"/>
              </w:rPr>
              <w:t xml:space="preserve"> </w:t>
            </w:r>
          </w:p>
          <w:p w14:paraId="7DB491FC" w14:textId="0744FF1A" w:rsidR="005B0233" w:rsidRPr="00C518AF" w:rsidRDefault="005B0233" w:rsidP="00C518AF">
            <w:pPr>
              <w:pStyle w:val="ListParagraph"/>
              <w:numPr>
                <w:ilvl w:val="0"/>
                <w:numId w:val="55"/>
              </w:numPr>
              <w:rPr>
                <w:rFonts w:ascii="Cambria" w:hAnsi="Cambria"/>
                <w:color w:val="auto"/>
                <w:szCs w:val="24"/>
              </w:rPr>
            </w:pPr>
            <w:r w:rsidRPr="00C518AF">
              <w:rPr>
                <w:rFonts w:ascii="Cambria" w:hAnsi="Cambria"/>
                <w:color w:val="auto"/>
                <w:szCs w:val="24"/>
              </w:rPr>
              <w:t xml:space="preserve">RM and Client Management </w:t>
            </w:r>
          </w:p>
          <w:p w14:paraId="13516224" w14:textId="77777777" w:rsidR="005B0233" w:rsidRPr="00E042E0" w:rsidRDefault="005B0233" w:rsidP="00C518AF">
            <w:pPr>
              <w:pStyle w:val="ListParagraph"/>
              <w:numPr>
                <w:ilvl w:val="0"/>
                <w:numId w:val="55"/>
              </w:numPr>
              <w:rPr>
                <w:rFonts w:ascii="Cambria" w:hAnsi="Cambria"/>
                <w:color w:val="auto"/>
                <w:szCs w:val="24"/>
              </w:rPr>
            </w:pPr>
            <w:r w:rsidRPr="00E042E0">
              <w:rPr>
                <w:rFonts w:ascii="Cambria" w:hAnsi="Cambria"/>
                <w:color w:val="auto"/>
                <w:szCs w:val="24"/>
              </w:rPr>
              <w:t xml:space="preserve">DR Market Solution </w:t>
            </w:r>
          </w:p>
          <w:p w14:paraId="342EC0A4" w14:textId="77777777" w:rsidR="005B0233" w:rsidRPr="00E042E0" w:rsidRDefault="005B0233" w:rsidP="00C518AF">
            <w:pPr>
              <w:pStyle w:val="ListParagraph"/>
              <w:numPr>
                <w:ilvl w:val="0"/>
                <w:numId w:val="55"/>
              </w:numPr>
              <w:rPr>
                <w:rFonts w:ascii="Cambria" w:hAnsi="Cambria"/>
                <w:color w:val="auto"/>
                <w:szCs w:val="24"/>
              </w:rPr>
            </w:pPr>
            <w:r w:rsidRPr="00E042E0">
              <w:rPr>
                <w:rFonts w:ascii="Cambria" w:hAnsi="Cambria"/>
                <w:color w:val="auto"/>
                <w:szCs w:val="24"/>
              </w:rPr>
              <w:t xml:space="preserve">Legal &amp; Transaction Structuring Group </w:t>
            </w:r>
          </w:p>
          <w:p w14:paraId="00A12AF3" w14:textId="77777777" w:rsidR="005B0233" w:rsidRPr="00E042E0" w:rsidRDefault="005B0233" w:rsidP="00C518AF">
            <w:pPr>
              <w:pStyle w:val="ListParagraph"/>
              <w:numPr>
                <w:ilvl w:val="0"/>
                <w:numId w:val="55"/>
              </w:numPr>
              <w:rPr>
                <w:rFonts w:ascii="Cambria" w:hAnsi="Cambria"/>
                <w:color w:val="auto"/>
                <w:szCs w:val="24"/>
              </w:rPr>
            </w:pPr>
            <w:r w:rsidRPr="00E042E0">
              <w:rPr>
                <w:rFonts w:ascii="Cambria" w:hAnsi="Cambria"/>
                <w:color w:val="auto"/>
                <w:szCs w:val="24"/>
              </w:rPr>
              <w:t xml:space="preserve">Product Management </w:t>
            </w:r>
          </w:p>
          <w:p w14:paraId="41F957D0" w14:textId="77777777" w:rsidR="005B0233" w:rsidRPr="00E042E0" w:rsidRDefault="005B0233" w:rsidP="00C518AF">
            <w:pPr>
              <w:pStyle w:val="ListParagraph"/>
              <w:numPr>
                <w:ilvl w:val="0"/>
                <w:numId w:val="55"/>
              </w:numPr>
              <w:rPr>
                <w:rFonts w:ascii="Cambria" w:hAnsi="Cambria"/>
                <w:color w:val="auto"/>
                <w:szCs w:val="24"/>
              </w:rPr>
            </w:pPr>
            <w:r w:rsidRPr="00E042E0">
              <w:rPr>
                <w:rFonts w:ascii="Cambria" w:hAnsi="Cambria"/>
                <w:color w:val="auto"/>
                <w:szCs w:val="24"/>
              </w:rPr>
              <w:t xml:space="preserve">Broker Services </w:t>
            </w:r>
          </w:p>
          <w:p w14:paraId="15AA8E7F" w14:textId="77777777" w:rsidR="005B0233" w:rsidRPr="00E042E0" w:rsidRDefault="005B0233" w:rsidP="00C518AF">
            <w:pPr>
              <w:pStyle w:val="ListParagraph"/>
              <w:numPr>
                <w:ilvl w:val="0"/>
                <w:numId w:val="55"/>
              </w:numPr>
              <w:rPr>
                <w:rFonts w:ascii="Cambria" w:hAnsi="Cambria"/>
                <w:color w:val="auto"/>
                <w:szCs w:val="24"/>
              </w:rPr>
            </w:pPr>
            <w:r w:rsidRPr="00E042E0">
              <w:rPr>
                <w:rFonts w:ascii="Cambria" w:hAnsi="Cambria"/>
                <w:color w:val="auto"/>
                <w:szCs w:val="24"/>
              </w:rPr>
              <w:t>Corporate Actions</w:t>
            </w:r>
          </w:p>
        </w:tc>
        <w:tc>
          <w:tcPr>
            <w:tcW w:w="2500" w:type="pct"/>
          </w:tcPr>
          <w:p w14:paraId="4423F6D7" w14:textId="77777777" w:rsidR="005B0233" w:rsidRDefault="006841C8" w:rsidP="00684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color w:val="auto"/>
                <w:szCs w:val="24"/>
                <w:u w:val="single"/>
              </w:rPr>
            </w:pPr>
            <w:r w:rsidRPr="00E042E0">
              <w:rPr>
                <w:rFonts w:ascii="Cambria" w:hAnsi="Cambria"/>
                <w:b/>
                <w:color w:val="auto"/>
                <w:szCs w:val="24"/>
                <w:u w:val="single"/>
              </w:rPr>
              <w:t>DR Functional Structure</w:t>
            </w:r>
          </w:p>
          <w:p w14:paraId="4B296B76" w14:textId="1420E01A" w:rsidR="006841C8" w:rsidRPr="006841C8" w:rsidRDefault="006841C8" w:rsidP="00C518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iCs/>
                <w:color w:val="FF0000"/>
                <w:spacing w:val="15"/>
                <w:szCs w:val="24"/>
              </w:rPr>
            </w:pPr>
            <w:r w:rsidRPr="006841C8">
              <w:rPr>
                <w:rFonts w:ascii="Cambria" w:hAnsi="Cambria"/>
                <w:color w:val="auto"/>
                <w:szCs w:val="24"/>
              </w:rPr>
              <w:t>All decision</w:t>
            </w:r>
            <w:r w:rsidR="00220D0D">
              <w:rPr>
                <w:rFonts w:ascii="Cambria" w:hAnsi="Cambria"/>
                <w:color w:val="auto"/>
                <w:szCs w:val="24"/>
              </w:rPr>
              <w:t>-</w:t>
            </w:r>
            <w:r w:rsidRPr="006841C8">
              <w:rPr>
                <w:rFonts w:ascii="Cambria" w:hAnsi="Cambria"/>
                <w:color w:val="auto"/>
                <w:szCs w:val="24"/>
              </w:rPr>
              <w:t xml:space="preserve">making power is based in New York/London. </w:t>
            </w:r>
            <w:r>
              <w:rPr>
                <w:rFonts w:ascii="Cambria" w:hAnsi="Cambria"/>
                <w:color w:val="auto"/>
                <w:szCs w:val="24"/>
              </w:rPr>
              <w:t xml:space="preserve"> </w:t>
            </w:r>
            <w:r w:rsidR="00220D0D">
              <w:rPr>
                <w:rFonts w:ascii="Cambria" w:hAnsi="Cambria"/>
                <w:color w:val="auto"/>
                <w:szCs w:val="24"/>
              </w:rPr>
              <w:t xml:space="preserve"> The </w:t>
            </w:r>
            <w:r>
              <w:rPr>
                <w:rFonts w:ascii="Cambria" w:hAnsi="Cambria"/>
                <w:color w:val="auto"/>
                <w:szCs w:val="24"/>
              </w:rPr>
              <w:t xml:space="preserve">Moscow staff does not have a mandate to make any decisions related to financial </w:t>
            </w:r>
            <w:r w:rsidR="00220D0D">
              <w:rPr>
                <w:rFonts w:ascii="Cambria" w:hAnsi="Cambria"/>
                <w:color w:val="auto"/>
                <w:szCs w:val="24"/>
              </w:rPr>
              <w:t>matters</w:t>
            </w:r>
            <w:r>
              <w:rPr>
                <w:rFonts w:ascii="Cambria" w:hAnsi="Cambria"/>
                <w:color w:val="auto"/>
                <w:szCs w:val="24"/>
              </w:rPr>
              <w:t xml:space="preserve">. </w:t>
            </w:r>
          </w:p>
        </w:tc>
      </w:tr>
      <w:tr w:rsidR="005B0233" w14:paraId="3214D9F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C8E3E6B" w14:textId="77777777" w:rsidR="005B0233" w:rsidRPr="00E042E0" w:rsidRDefault="005B0233" w:rsidP="00B166C5">
            <w:pPr>
              <w:rPr>
                <w:rFonts w:ascii="Cambria" w:hAnsi="Cambria"/>
                <w:b/>
                <w:color w:val="auto"/>
                <w:szCs w:val="24"/>
                <w:u w:val="single"/>
              </w:rPr>
            </w:pPr>
            <w:r w:rsidRPr="00E042E0">
              <w:rPr>
                <w:rFonts w:ascii="Cambria" w:hAnsi="Cambria"/>
                <w:b/>
                <w:color w:val="auto"/>
                <w:szCs w:val="24"/>
                <w:u w:val="single"/>
              </w:rPr>
              <w:lastRenderedPageBreak/>
              <w:t>Proxy Service:</w:t>
            </w:r>
          </w:p>
          <w:p w14:paraId="27FD919F" w14:textId="098BEC16" w:rsidR="005B0233" w:rsidRPr="00E042E0" w:rsidRDefault="00EB161A" w:rsidP="00C518AF">
            <w:pPr>
              <w:rPr>
                <w:rFonts w:ascii="Cambria" w:eastAsiaTheme="majorEastAsia" w:hAnsi="Cambria" w:cstheme="majorBidi"/>
                <w:b/>
                <w:iCs/>
                <w:color w:val="auto"/>
                <w:spacing w:val="15"/>
                <w:szCs w:val="24"/>
              </w:rPr>
            </w:pPr>
            <w:r>
              <w:rPr>
                <w:rFonts w:ascii="Cambria" w:hAnsi="Cambria"/>
                <w:color w:val="auto"/>
                <w:szCs w:val="24"/>
              </w:rPr>
              <w:t>DB provides f</w:t>
            </w:r>
            <w:r w:rsidR="005B0233" w:rsidRPr="00E042E0">
              <w:rPr>
                <w:rFonts w:ascii="Cambria" w:hAnsi="Cambria"/>
                <w:color w:val="auto"/>
                <w:szCs w:val="24"/>
              </w:rPr>
              <w:t xml:space="preserve">ull </w:t>
            </w:r>
            <w:r>
              <w:rPr>
                <w:rFonts w:ascii="Cambria" w:hAnsi="Cambria"/>
                <w:color w:val="auto"/>
                <w:szCs w:val="24"/>
              </w:rPr>
              <w:t>P</w:t>
            </w:r>
            <w:r w:rsidR="005B0233" w:rsidRPr="00E042E0">
              <w:rPr>
                <w:rFonts w:ascii="Cambria" w:hAnsi="Cambria"/>
                <w:color w:val="auto"/>
                <w:szCs w:val="24"/>
              </w:rPr>
              <w:t>roxy Services</w:t>
            </w:r>
            <w:r>
              <w:rPr>
                <w:rFonts w:ascii="Cambria" w:hAnsi="Cambria"/>
                <w:color w:val="auto"/>
                <w:szCs w:val="24"/>
              </w:rPr>
              <w:t>,</w:t>
            </w:r>
            <w:r w:rsidR="005B0233" w:rsidRPr="00E042E0">
              <w:rPr>
                <w:rFonts w:ascii="Cambria" w:hAnsi="Cambria"/>
                <w:color w:val="auto"/>
                <w:szCs w:val="24"/>
              </w:rPr>
              <w:t xml:space="preserve"> including draftin</w:t>
            </w:r>
            <w:r>
              <w:rPr>
                <w:rFonts w:ascii="Cambria" w:hAnsi="Cambria"/>
                <w:color w:val="auto"/>
                <w:szCs w:val="24"/>
              </w:rPr>
              <w:t>g and</w:t>
            </w:r>
            <w:r w:rsidR="005B0233" w:rsidRPr="00E042E0">
              <w:rPr>
                <w:rFonts w:ascii="Cambria" w:hAnsi="Cambria"/>
                <w:color w:val="auto"/>
                <w:szCs w:val="24"/>
              </w:rPr>
              <w:t xml:space="preserve"> mailing proxy card</w:t>
            </w:r>
            <w:r>
              <w:rPr>
                <w:rFonts w:ascii="Cambria" w:hAnsi="Cambria"/>
                <w:color w:val="auto"/>
                <w:szCs w:val="24"/>
              </w:rPr>
              <w:t>s</w:t>
            </w:r>
            <w:r w:rsidR="005B0233" w:rsidRPr="00E042E0">
              <w:rPr>
                <w:rFonts w:ascii="Cambria" w:hAnsi="Cambria"/>
                <w:color w:val="auto"/>
                <w:szCs w:val="24"/>
              </w:rPr>
              <w:t xml:space="preserve"> and collecting votes. </w:t>
            </w:r>
            <w:r>
              <w:rPr>
                <w:rFonts w:ascii="Cambria" w:hAnsi="Cambria"/>
                <w:color w:val="auto"/>
                <w:szCs w:val="24"/>
              </w:rPr>
              <w:t xml:space="preserve">  </w:t>
            </w:r>
            <w:r w:rsidR="005B0233" w:rsidRPr="00E042E0">
              <w:rPr>
                <w:rFonts w:ascii="Cambria" w:hAnsi="Cambria"/>
                <w:color w:val="auto"/>
                <w:szCs w:val="24"/>
              </w:rPr>
              <w:t>Also, DB offers on</w:t>
            </w:r>
            <w:r>
              <w:rPr>
                <w:rFonts w:ascii="Cambria" w:hAnsi="Cambria"/>
                <w:color w:val="auto"/>
                <w:szCs w:val="24"/>
              </w:rPr>
              <w:t>-</w:t>
            </w:r>
            <w:r w:rsidR="005B0233" w:rsidRPr="00E042E0">
              <w:rPr>
                <w:rFonts w:ascii="Cambria" w:hAnsi="Cambria"/>
                <w:color w:val="auto"/>
                <w:szCs w:val="24"/>
              </w:rPr>
              <w:t>demand report</w:t>
            </w:r>
            <w:r>
              <w:rPr>
                <w:rFonts w:ascii="Cambria" w:hAnsi="Cambria"/>
                <w:color w:val="auto"/>
                <w:szCs w:val="24"/>
              </w:rPr>
              <w:t>s</w:t>
            </w:r>
            <w:r w:rsidR="005B0233" w:rsidRPr="00E042E0">
              <w:rPr>
                <w:rFonts w:ascii="Cambria" w:hAnsi="Cambria"/>
                <w:color w:val="auto"/>
                <w:szCs w:val="24"/>
              </w:rPr>
              <w:t xml:space="preserve"> on voted/unvoted share positions. </w:t>
            </w:r>
          </w:p>
        </w:tc>
        <w:tc>
          <w:tcPr>
            <w:tcW w:w="2500" w:type="pct"/>
          </w:tcPr>
          <w:p w14:paraId="521DD5B7" w14:textId="77777777" w:rsidR="006841C8" w:rsidRDefault="006841C8" w:rsidP="0068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auto"/>
                <w:szCs w:val="24"/>
                <w:u w:val="single"/>
              </w:rPr>
            </w:pPr>
            <w:r w:rsidRPr="00E042E0">
              <w:rPr>
                <w:rFonts w:ascii="Cambria" w:hAnsi="Cambria"/>
                <w:b/>
                <w:color w:val="auto"/>
                <w:szCs w:val="24"/>
                <w:u w:val="single"/>
              </w:rPr>
              <w:t>Proxy Service:</w:t>
            </w:r>
          </w:p>
          <w:p w14:paraId="5C505788" w14:textId="57ECC283" w:rsidR="006841C8" w:rsidRDefault="006841C8" w:rsidP="00536CB1">
            <w:pPr>
              <w:pStyle w:val="ListParagraph"/>
              <w:numPr>
                <w:ilvl w:val="0"/>
                <w:numId w:val="5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Cs w:val="24"/>
              </w:rPr>
            </w:pPr>
            <w:r w:rsidRPr="00536CB1">
              <w:rPr>
                <w:rFonts w:ascii="Cambria" w:hAnsi="Cambria"/>
                <w:color w:val="auto"/>
                <w:szCs w:val="24"/>
              </w:rPr>
              <w:t>DB does not have extensive experience in proxy contests</w:t>
            </w:r>
            <w:r w:rsidR="00EB161A">
              <w:rPr>
                <w:rFonts w:ascii="Cambria" w:hAnsi="Cambria"/>
                <w:color w:val="auto"/>
                <w:szCs w:val="24"/>
              </w:rPr>
              <w:t>,</w:t>
            </w:r>
            <w:r w:rsidRPr="00536CB1">
              <w:rPr>
                <w:rFonts w:ascii="Cambria" w:hAnsi="Cambria"/>
                <w:color w:val="auto"/>
                <w:szCs w:val="24"/>
              </w:rPr>
              <w:t xml:space="preserve"> as BNYM does. </w:t>
            </w:r>
          </w:p>
          <w:p w14:paraId="59B24C69" w14:textId="5C61D9D2" w:rsidR="00536CB1" w:rsidRPr="00C518AF" w:rsidRDefault="00536CB1" w:rsidP="00C518AF">
            <w:pPr>
              <w:pStyle w:val="ListParagraph"/>
              <w:numPr>
                <w:ilvl w:val="0"/>
                <w:numId w:val="5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Cs w:val="24"/>
              </w:rPr>
            </w:pPr>
            <w:r w:rsidRPr="007429E6">
              <w:rPr>
                <w:rFonts w:ascii="Cambria" w:hAnsi="Cambria"/>
                <w:color w:val="auto"/>
                <w:szCs w:val="24"/>
              </w:rPr>
              <w:t xml:space="preserve">We could not locate a detailed action plan with respect to processing </w:t>
            </w:r>
            <w:r w:rsidR="00EB161A" w:rsidRPr="007429E6">
              <w:rPr>
                <w:rFonts w:ascii="Cambria" w:hAnsi="Cambria"/>
                <w:color w:val="auto"/>
                <w:szCs w:val="24"/>
              </w:rPr>
              <w:t xml:space="preserve">the </w:t>
            </w:r>
            <w:r w:rsidRPr="007429E6">
              <w:rPr>
                <w:rFonts w:ascii="Cambria" w:hAnsi="Cambria"/>
                <w:color w:val="auto"/>
                <w:szCs w:val="24"/>
              </w:rPr>
              <w:t xml:space="preserve">2014 AGM/EGM in accordance with the new disclosure rule.  </w:t>
            </w:r>
            <w:r w:rsidR="00EB161A" w:rsidRPr="007429E6">
              <w:rPr>
                <w:rFonts w:ascii="Cambria" w:hAnsi="Cambria"/>
                <w:color w:val="auto"/>
                <w:szCs w:val="24"/>
              </w:rPr>
              <w:t xml:space="preserve"> </w:t>
            </w:r>
            <w:r w:rsidRPr="007429E6">
              <w:rPr>
                <w:rFonts w:ascii="Cambria" w:hAnsi="Cambria"/>
                <w:color w:val="auto"/>
                <w:szCs w:val="24"/>
              </w:rPr>
              <w:t>Also, we could not locate</w:t>
            </w:r>
            <w:r w:rsidR="00EB161A" w:rsidRPr="007429E6">
              <w:rPr>
                <w:rFonts w:ascii="Cambria" w:hAnsi="Cambria"/>
                <w:color w:val="auto"/>
                <w:szCs w:val="24"/>
              </w:rPr>
              <w:t xml:space="preserve"> </w:t>
            </w:r>
            <w:r w:rsidR="00EB161A" w:rsidRPr="00C518AF">
              <w:rPr>
                <w:rFonts w:ascii="Cambria" w:hAnsi="Cambria"/>
                <w:color w:val="FF0000"/>
                <w:szCs w:val="24"/>
              </w:rPr>
              <w:t>[sentence to be completed – WW]</w:t>
            </w:r>
          </w:p>
          <w:p w14:paraId="45C85941" w14:textId="77777777" w:rsidR="005B0233" w:rsidRPr="00E042E0" w:rsidRDefault="008635B6" w:rsidP="00863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Cs w:val="24"/>
                <w:u w:val="single"/>
              </w:rPr>
            </w:pPr>
            <w:r w:rsidRPr="00E042E0">
              <w:rPr>
                <w:rFonts w:ascii="Cambria" w:hAnsi="Cambria"/>
                <w:color w:val="auto"/>
                <w:szCs w:val="24"/>
              </w:rPr>
              <w:t xml:space="preserve"> </w:t>
            </w:r>
          </w:p>
        </w:tc>
      </w:tr>
      <w:tr w:rsidR="005945E9" w14:paraId="31DC394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4F9EFC1" w14:textId="5A301801" w:rsidR="005945E9" w:rsidRPr="00E042E0" w:rsidRDefault="005945E9" w:rsidP="00B166C5">
            <w:pPr>
              <w:rPr>
                <w:rFonts w:asciiTheme="majorHAnsi" w:hAnsiTheme="majorHAnsi"/>
                <w:b/>
                <w:color w:val="auto"/>
                <w:szCs w:val="24"/>
                <w:u w:val="single"/>
              </w:rPr>
            </w:pPr>
            <w:r w:rsidRPr="00E042E0">
              <w:rPr>
                <w:rFonts w:asciiTheme="majorHAnsi" w:hAnsiTheme="majorHAnsi"/>
                <w:b/>
                <w:color w:val="auto"/>
                <w:szCs w:val="24"/>
                <w:u w:val="single"/>
              </w:rPr>
              <w:t xml:space="preserve">Value-added </w:t>
            </w:r>
            <w:r w:rsidR="00EB161A">
              <w:rPr>
                <w:rFonts w:asciiTheme="majorHAnsi" w:hAnsiTheme="majorHAnsi"/>
                <w:b/>
                <w:color w:val="auto"/>
                <w:szCs w:val="24"/>
                <w:u w:val="single"/>
              </w:rPr>
              <w:t>I</w:t>
            </w:r>
            <w:r w:rsidRPr="00E042E0">
              <w:rPr>
                <w:rFonts w:asciiTheme="majorHAnsi" w:hAnsiTheme="majorHAnsi"/>
                <w:b/>
                <w:color w:val="auto"/>
                <w:szCs w:val="24"/>
                <w:u w:val="single"/>
              </w:rPr>
              <w:t xml:space="preserve">nvestor </w:t>
            </w:r>
            <w:r w:rsidR="00EB161A">
              <w:rPr>
                <w:rFonts w:asciiTheme="majorHAnsi" w:hAnsiTheme="majorHAnsi"/>
                <w:b/>
                <w:color w:val="auto"/>
                <w:szCs w:val="24"/>
                <w:u w:val="single"/>
              </w:rPr>
              <w:t>R</w:t>
            </w:r>
            <w:r w:rsidRPr="00E042E0">
              <w:rPr>
                <w:rFonts w:asciiTheme="majorHAnsi" w:hAnsiTheme="majorHAnsi"/>
                <w:b/>
                <w:color w:val="auto"/>
                <w:szCs w:val="24"/>
                <w:u w:val="single"/>
              </w:rPr>
              <w:t xml:space="preserve">elations </w:t>
            </w:r>
            <w:r w:rsidR="00EB161A">
              <w:rPr>
                <w:rFonts w:asciiTheme="majorHAnsi" w:hAnsiTheme="majorHAnsi"/>
                <w:b/>
                <w:color w:val="auto"/>
                <w:szCs w:val="24"/>
                <w:u w:val="single"/>
              </w:rPr>
              <w:t>S</w:t>
            </w:r>
            <w:r w:rsidRPr="00E042E0">
              <w:rPr>
                <w:rFonts w:asciiTheme="majorHAnsi" w:hAnsiTheme="majorHAnsi"/>
                <w:b/>
                <w:color w:val="auto"/>
                <w:szCs w:val="24"/>
                <w:u w:val="single"/>
              </w:rPr>
              <w:t>ervices</w:t>
            </w:r>
          </w:p>
          <w:p w14:paraId="636FACF5" w14:textId="77777777" w:rsidR="005945E9" w:rsidRPr="00E042E0" w:rsidRDefault="005945E9" w:rsidP="00F104A0">
            <w:pPr>
              <w:spacing w:beforeLines="1" w:before="2" w:afterLines="1" w:after="2"/>
              <w:rPr>
                <w:rFonts w:asciiTheme="majorHAnsi" w:hAnsiTheme="majorHAnsi" w:cs="Times New Roman"/>
                <w:color w:val="auto"/>
                <w:szCs w:val="24"/>
              </w:rPr>
            </w:pPr>
            <w:r w:rsidRPr="00E042E0">
              <w:rPr>
                <w:rFonts w:asciiTheme="majorHAnsi" w:hAnsiTheme="majorHAnsi" w:cs="Times New Roman"/>
                <w:color w:val="auto"/>
                <w:szCs w:val="24"/>
              </w:rPr>
              <w:t xml:space="preserve">There are 7 individuals in the DR Market Solutions department who can provide value-added IR services to Norilsk Nickel. </w:t>
            </w:r>
          </w:p>
        </w:tc>
        <w:tc>
          <w:tcPr>
            <w:tcW w:w="2500" w:type="pct"/>
          </w:tcPr>
          <w:p w14:paraId="4E4B17C8" w14:textId="77777777" w:rsidR="005945E9" w:rsidRPr="00E042E0" w:rsidRDefault="005945E9" w:rsidP="00863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auto"/>
                <w:szCs w:val="24"/>
              </w:rPr>
            </w:pPr>
          </w:p>
        </w:tc>
      </w:tr>
      <w:tr w:rsidR="009E6165" w14:paraId="173AF96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88D7E81" w14:textId="77777777" w:rsidR="009E6165" w:rsidRPr="000B68BF" w:rsidRDefault="009E6165" w:rsidP="008635B6">
            <w:pPr>
              <w:jc w:val="center"/>
              <w:rPr>
                <w:rFonts w:ascii="Cambria" w:hAnsi="Cambria"/>
                <w:color w:val="FF0000"/>
                <w:sz w:val="36"/>
                <w:szCs w:val="36"/>
              </w:rPr>
            </w:pPr>
            <w:r w:rsidRPr="000B68BF">
              <w:rPr>
                <w:rFonts w:ascii="Cambria" w:hAnsi="Cambria"/>
                <w:b/>
                <w:color w:val="FF0000"/>
                <w:sz w:val="36"/>
                <w:szCs w:val="36"/>
              </w:rPr>
              <w:t>Financial Section</w:t>
            </w:r>
          </w:p>
        </w:tc>
      </w:tr>
      <w:tr w:rsidR="009E6165" w14:paraId="49A45FE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C7F86EA" w14:textId="4D350053" w:rsidR="009E6165" w:rsidRPr="00E042E0" w:rsidRDefault="00E042E0" w:rsidP="008635B6">
            <w:pPr>
              <w:jc w:val="center"/>
              <w:rPr>
                <w:rFonts w:ascii="Cambria" w:hAnsi="Cambria"/>
                <w:b/>
                <w:color w:val="FF0000"/>
                <w:szCs w:val="24"/>
              </w:rPr>
            </w:pPr>
            <w:r>
              <w:rPr>
                <w:rFonts w:ascii="Cambria" w:hAnsi="Cambria"/>
                <w:b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055A41C1" wp14:editId="194450D4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-22225</wp:posOffset>
                      </wp:positionV>
                      <wp:extent cx="571500" cy="365125"/>
                      <wp:effectExtent l="0" t="0" r="12700" b="41275"/>
                      <wp:wrapThrough wrapText="bothSides">
                        <wp:wrapPolygon edited="0">
                          <wp:start x="7680" y="1503"/>
                          <wp:lineTo x="1920" y="10518"/>
                          <wp:lineTo x="1920" y="18031"/>
                          <wp:lineTo x="6720" y="22539"/>
                          <wp:lineTo x="15360" y="22539"/>
                          <wp:lineTo x="21120" y="19534"/>
                          <wp:lineTo x="21120" y="9016"/>
                          <wp:lineTo x="14400" y="1503"/>
                          <wp:lineTo x="7680" y="1503"/>
                        </wp:wrapPolygon>
                      </wp:wrapThrough>
                      <wp:docPr id="15" name="Plu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651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ED1C24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Plus 15" o:spid="_x0000_s1026" style="position:absolute;margin-left:90pt;margin-top:-1.7pt;width:45pt;height:28.75pt;z-index:252064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71500,3651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" path="m75752,139624l242811,139624,242811,48397,328689,48397,328689,139624,495748,139624,495748,225501,328689,225501,328689,316728,242811,316728,242811,225501,75752,225501,75752,139624xe" fillcolor="#ed1c24" strokecolor="#4579b8 [3044]">
                      <v:shadow on="t" opacity="22937f" mv:blur="40000f" origin=",.5" offset="0,23000emu"/>
                      <v:path arrowok="t" o:connecttype="custom" o:connectlocs="75752,139624;242811,139624;242811,48397;328689,48397;328689,139624;495748,139624;495748,225501;328689,225501;328689,316728;242811,316728;242811,225501;75752,225501;75752,139624" o:connectangles="0,0,0,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500" w:type="pct"/>
          </w:tcPr>
          <w:p w14:paraId="5367A150" w14:textId="74FD0FEE" w:rsidR="009E6165" w:rsidRPr="00E042E0" w:rsidRDefault="00E042E0" w:rsidP="008635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color w:val="FF0000"/>
                <w:szCs w:val="24"/>
              </w:rPr>
            </w:pPr>
            <w:r>
              <w:rPr>
                <w:rFonts w:ascii="Cambria" w:hAnsi="Cambria"/>
                <w:b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2B59211D" wp14:editId="6CDDA137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-22225</wp:posOffset>
                      </wp:positionV>
                      <wp:extent cx="914400" cy="342900"/>
                      <wp:effectExtent l="0" t="0" r="0" b="0"/>
                      <wp:wrapThrough wrapText="bothSides">
                        <wp:wrapPolygon edited="0">
                          <wp:start x="1800" y="6400"/>
                          <wp:lineTo x="1800" y="19200"/>
                          <wp:lineTo x="19800" y="19200"/>
                          <wp:lineTo x="19800" y="6400"/>
                          <wp:lineTo x="1800" y="6400"/>
                        </wp:wrapPolygon>
                      </wp:wrapThrough>
                      <wp:docPr id="14" name="Minu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42900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ED1C24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Minus 14" o:spid="_x0000_s1026" style="position:absolute;margin-left:81pt;margin-top:-1.7pt;width:1in;height:27pt;z-index:25206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" path="m121204,131125l793196,131125,793196,211775,121204,211775,121204,131125xe" fillcolor="#ed1c24" strokecolor="#4579b8 [3044]">
                      <v:shadow on="t" opacity="22937f" mv:blur="40000f" origin=",.5" offset="0,23000emu"/>
                      <v:path arrowok="t" o:connecttype="custom" o:connectlocs="121204,131125;793196,131125;793196,211775;121204,211775;121204,131125" o:connectangles="0,0,0,0,0"/>
                      <w10:wrap type="through"/>
                    </v:shape>
                  </w:pict>
                </mc:Fallback>
              </mc:AlternateContent>
            </w:r>
          </w:p>
        </w:tc>
      </w:tr>
      <w:tr w:rsidR="00DC4919" w14:paraId="3FD640B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1FF81E6" w14:textId="77777777" w:rsidR="00DC4919" w:rsidRPr="00E042E0" w:rsidRDefault="00DC4919" w:rsidP="00DC4919">
            <w:pPr>
              <w:rPr>
                <w:rFonts w:asciiTheme="majorHAnsi" w:hAnsiTheme="majorHAnsi"/>
                <w:b/>
                <w:color w:val="auto"/>
                <w:szCs w:val="24"/>
                <w:u w:val="single"/>
              </w:rPr>
            </w:pPr>
            <w:r w:rsidRPr="00E042E0">
              <w:rPr>
                <w:rFonts w:asciiTheme="majorHAnsi" w:hAnsiTheme="majorHAnsi"/>
                <w:b/>
                <w:color w:val="auto"/>
                <w:szCs w:val="24"/>
                <w:u w:val="single"/>
              </w:rPr>
              <w:t>Reimbursement</w:t>
            </w:r>
            <w:r w:rsidR="00B166C5" w:rsidRPr="00E042E0">
              <w:rPr>
                <w:rFonts w:asciiTheme="majorHAnsi" w:hAnsiTheme="majorHAnsi"/>
                <w:b/>
                <w:color w:val="auto"/>
                <w:szCs w:val="24"/>
                <w:u w:val="single"/>
              </w:rPr>
              <w:t>:</w:t>
            </w:r>
          </w:p>
          <w:p w14:paraId="022726C1" w14:textId="0215B85B" w:rsidR="00DC4919" w:rsidRPr="00E042E0" w:rsidRDefault="00DC4919" w:rsidP="00F104A0">
            <w:pPr>
              <w:pStyle w:val="NormalWeb"/>
              <w:numPr>
                <w:ilvl w:val="0"/>
                <w:numId w:val="42"/>
              </w:numPr>
              <w:spacing w:beforeLines="1" w:before="2" w:beforeAutospacing="0" w:afterLines="1" w:after="2" w:afterAutospacing="0"/>
              <w:rPr>
                <w:rFonts w:asciiTheme="majorHAnsi" w:eastAsiaTheme="minorHAnsi" w:hAnsiTheme="majorHAnsi"/>
                <w:color w:val="auto"/>
              </w:rPr>
            </w:pPr>
            <w:r w:rsidRPr="00E042E0">
              <w:rPr>
                <w:rFonts w:asciiTheme="majorHAnsi" w:hAnsiTheme="majorHAnsi"/>
                <w:b/>
                <w:color w:val="auto"/>
                <w:u w:val="single"/>
              </w:rPr>
              <w:t>Option 1:</w:t>
            </w:r>
            <w:r w:rsidRPr="00E042E0">
              <w:rPr>
                <w:rFonts w:asciiTheme="majorHAnsi" w:hAnsiTheme="majorHAnsi"/>
                <w:color w:val="auto"/>
              </w:rPr>
              <w:t xml:space="preserve">  </w:t>
            </w:r>
            <w:r w:rsidRPr="00E042E0">
              <w:rPr>
                <w:rFonts w:asciiTheme="majorHAnsi" w:eastAsiaTheme="minorHAnsi" w:hAnsiTheme="majorHAnsi"/>
                <w:bCs/>
                <w:color w:val="auto"/>
              </w:rPr>
              <w:t xml:space="preserve">If the annual fees collected from dividend processing and servicing fees are at US$0.02, </w:t>
            </w:r>
            <w:r w:rsidR="00B166C5" w:rsidRPr="00E042E0">
              <w:rPr>
                <w:rFonts w:asciiTheme="majorHAnsi" w:eastAsiaTheme="minorHAnsi" w:hAnsiTheme="majorHAnsi"/>
                <w:bCs/>
                <w:color w:val="auto"/>
              </w:rPr>
              <w:t xml:space="preserve">DB </w:t>
            </w:r>
            <w:r w:rsidRPr="00E042E0">
              <w:rPr>
                <w:rFonts w:asciiTheme="majorHAnsi" w:eastAsiaTheme="minorHAnsi" w:hAnsiTheme="majorHAnsi"/>
                <w:bCs/>
                <w:color w:val="auto"/>
              </w:rPr>
              <w:t>would offer net revenue sharing* at 77%</w:t>
            </w:r>
            <w:r w:rsidR="005F36C7">
              <w:rPr>
                <w:rFonts w:asciiTheme="majorHAnsi" w:eastAsiaTheme="minorHAnsi" w:hAnsiTheme="majorHAnsi"/>
                <w:bCs/>
                <w:color w:val="auto"/>
              </w:rPr>
              <w:t xml:space="preserve"> / </w:t>
            </w:r>
            <w:r w:rsidRPr="00E042E0">
              <w:rPr>
                <w:rFonts w:asciiTheme="majorHAnsi" w:eastAsiaTheme="minorHAnsi" w:hAnsiTheme="majorHAnsi"/>
                <w:bCs/>
                <w:color w:val="auto"/>
              </w:rPr>
              <w:t>23% in favor of Norilsk Nickel</w:t>
            </w:r>
            <w:r w:rsidR="005F36C7">
              <w:rPr>
                <w:rFonts w:asciiTheme="majorHAnsi" w:eastAsiaTheme="minorHAnsi" w:hAnsiTheme="majorHAnsi"/>
                <w:bCs/>
                <w:color w:val="auto"/>
              </w:rPr>
              <w:t>.</w:t>
            </w:r>
          </w:p>
          <w:p w14:paraId="3306778E" w14:textId="77777777" w:rsidR="00DC4919" w:rsidRPr="00E042E0" w:rsidRDefault="00DC4919" w:rsidP="00F104A0">
            <w:pPr>
              <w:pStyle w:val="NormalWeb"/>
              <w:spacing w:beforeLines="1" w:before="2" w:beforeAutospacing="0" w:afterLines="1" w:after="2" w:afterAutospacing="0"/>
              <w:ind w:left="720"/>
              <w:rPr>
                <w:rFonts w:asciiTheme="majorHAnsi" w:eastAsiaTheme="minorHAnsi" w:hAnsiTheme="majorHAnsi"/>
                <w:color w:val="auto"/>
              </w:rPr>
            </w:pPr>
          </w:p>
          <w:p w14:paraId="1A255A55" w14:textId="77777777" w:rsidR="00DC4919" w:rsidRPr="00E042E0" w:rsidRDefault="00DC4919" w:rsidP="00F104A0">
            <w:pPr>
              <w:pStyle w:val="NormalWeb"/>
              <w:numPr>
                <w:ilvl w:val="0"/>
                <w:numId w:val="42"/>
              </w:numPr>
              <w:spacing w:beforeLines="1" w:before="2" w:beforeAutospacing="0" w:afterLines="1" w:after="2" w:afterAutospacing="0"/>
              <w:rPr>
                <w:rFonts w:asciiTheme="majorHAnsi" w:eastAsiaTheme="minorHAnsi" w:hAnsiTheme="majorHAnsi"/>
                <w:color w:val="auto"/>
              </w:rPr>
            </w:pPr>
            <w:r w:rsidRPr="00E042E0">
              <w:rPr>
                <w:rFonts w:asciiTheme="majorHAnsi" w:hAnsiTheme="majorHAnsi"/>
                <w:b/>
                <w:color w:val="auto"/>
                <w:u w:val="single"/>
              </w:rPr>
              <w:t>Option 2:</w:t>
            </w:r>
            <w:r w:rsidRPr="00E042E0">
              <w:rPr>
                <w:rFonts w:asciiTheme="majorHAnsi" w:hAnsiTheme="majorHAnsi"/>
                <w:color w:val="auto"/>
              </w:rPr>
              <w:t xml:space="preserve"> </w:t>
            </w:r>
            <w:r w:rsidRPr="00E042E0">
              <w:rPr>
                <w:rFonts w:asciiTheme="majorHAnsi" w:eastAsiaTheme="minorHAnsi" w:hAnsiTheme="majorHAnsi"/>
                <w:bCs/>
                <w:color w:val="auto"/>
              </w:rPr>
              <w:t>If the annual fees collected from dividend processing and servicing fees are greater than US$0.02,</w:t>
            </w:r>
            <w:r w:rsidR="00B166C5" w:rsidRPr="00E042E0">
              <w:rPr>
                <w:rFonts w:asciiTheme="majorHAnsi" w:eastAsiaTheme="minorHAnsi" w:hAnsiTheme="majorHAnsi"/>
                <w:bCs/>
                <w:color w:val="auto"/>
              </w:rPr>
              <w:t xml:space="preserve"> DB would </w:t>
            </w:r>
            <w:r w:rsidRPr="00E042E0">
              <w:rPr>
                <w:rFonts w:asciiTheme="majorHAnsi" w:eastAsiaTheme="minorHAnsi" w:hAnsiTheme="majorHAnsi"/>
                <w:bCs/>
                <w:color w:val="auto"/>
              </w:rPr>
              <w:t xml:space="preserve">offer net revenue sharing* at 83% / 17% in favor of Norilsk Nickel. </w:t>
            </w:r>
          </w:p>
        </w:tc>
        <w:tc>
          <w:tcPr>
            <w:tcW w:w="2500" w:type="pct"/>
          </w:tcPr>
          <w:p w14:paraId="26072DE5" w14:textId="77777777" w:rsidR="008D2BE4" w:rsidRPr="00E042E0" w:rsidRDefault="008D2BE4" w:rsidP="008D2B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auto"/>
                <w:szCs w:val="24"/>
                <w:u w:val="single"/>
              </w:rPr>
            </w:pPr>
            <w:r w:rsidRPr="00E042E0">
              <w:rPr>
                <w:rFonts w:ascii="Cambria" w:hAnsi="Cambria"/>
                <w:b/>
                <w:color w:val="auto"/>
                <w:szCs w:val="24"/>
                <w:u w:val="single"/>
              </w:rPr>
              <w:t xml:space="preserve">Upfront Reimbursement: </w:t>
            </w:r>
          </w:p>
          <w:p w14:paraId="7C787AD0" w14:textId="164E344F" w:rsidR="008D2BE4" w:rsidRPr="00E042E0" w:rsidRDefault="008D2BE4" w:rsidP="008D2BE4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Cs w:val="24"/>
              </w:rPr>
            </w:pPr>
            <w:r w:rsidRPr="00E042E0">
              <w:rPr>
                <w:rFonts w:ascii="Cambria" w:hAnsi="Cambria"/>
                <w:color w:val="auto"/>
                <w:szCs w:val="24"/>
              </w:rPr>
              <w:t xml:space="preserve">There is no clarity on upfront reimbursement. </w:t>
            </w:r>
          </w:p>
          <w:p w14:paraId="350C687C" w14:textId="134DF3E3" w:rsidR="008D2BE4" w:rsidRPr="00E042E0" w:rsidRDefault="008D2BE4" w:rsidP="008D2BE4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Cs w:val="24"/>
              </w:rPr>
            </w:pPr>
            <w:r w:rsidRPr="00E042E0">
              <w:rPr>
                <w:rFonts w:ascii="Cambria" w:hAnsi="Cambria"/>
                <w:color w:val="auto"/>
                <w:szCs w:val="24"/>
              </w:rPr>
              <w:t xml:space="preserve">In </w:t>
            </w:r>
            <w:r w:rsidR="00E41724">
              <w:rPr>
                <w:rFonts w:ascii="Cambria" w:hAnsi="Cambria"/>
                <w:color w:val="auto"/>
                <w:szCs w:val="24"/>
              </w:rPr>
              <w:t>its</w:t>
            </w:r>
            <w:r w:rsidR="00E41724" w:rsidRPr="00E042E0">
              <w:rPr>
                <w:rFonts w:ascii="Cambria" w:hAnsi="Cambria"/>
                <w:color w:val="auto"/>
                <w:szCs w:val="24"/>
              </w:rPr>
              <w:t xml:space="preserve"> </w:t>
            </w:r>
            <w:r w:rsidRPr="00E042E0">
              <w:rPr>
                <w:rFonts w:ascii="Cambria" w:hAnsi="Cambria"/>
                <w:color w:val="auto"/>
                <w:szCs w:val="24"/>
              </w:rPr>
              <w:t>current proposal</w:t>
            </w:r>
            <w:r w:rsidR="00E41724">
              <w:rPr>
                <w:rFonts w:ascii="Cambria" w:hAnsi="Cambria"/>
                <w:color w:val="auto"/>
                <w:szCs w:val="24"/>
              </w:rPr>
              <w:t>,</w:t>
            </w:r>
            <w:r w:rsidRPr="00E042E0">
              <w:rPr>
                <w:rFonts w:ascii="Cambria" w:hAnsi="Cambria"/>
                <w:color w:val="auto"/>
                <w:szCs w:val="24"/>
              </w:rPr>
              <w:t xml:space="preserve"> DB made a short note about upfront reimbursement on p</w:t>
            </w:r>
            <w:r w:rsidR="00E41724">
              <w:rPr>
                <w:rFonts w:ascii="Cambria" w:hAnsi="Cambria"/>
                <w:color w:val="auto"/>
                <w:szCs w:val="24"/>
              </w:rPr>
              <w:t>age</w:t>
            </w:r>
            <w:r w:rsidRPr="00E042E0">
              <w:rPr>
                <w:rFonts w:ascii="Cambria" w:hAnsi="Cambria"/>
                <w:color w:val="auto"/>
                <w:szCs w:val="24"/>
              </w:rPr>
              <w:t xml:space="preserve"> 28. (Deutsche Bank would be happy to pay the first year</w:t>
            </w:r>
            <w:r w:rsidR="00E41724">
              <w:rPr>
                <w:rFonts w:ascii="Cambria" w:hAnsi="Cambria"/>
                <w:color w:val="auto"/>
                <w:szCs w:val="24"/>
              </w:rPr>
              <w:t>’s</w:t>
            </w:r>
            <w:r w:rsidRPr="00E042E0">
              <w:rPr>
                <w:rFonts w:ascii="Cambria" w:hAnsi="Cambria"/>
                <w:color w:val="auto"/>
                <w:szCs w:val="24"/>
              </w:rPr>
              <w:t xml:space="preserve"> estimated revenue</w:t>
            </w:r>
            <w:r w:rsidR="00E41724">
              <w:rPr>
                <w:rFonts w:ascii="Cambria" w:hAnsi="Cambria"/>
                <w:color w:val="auto"/>
                <w:szCs w:val="24"/>
              </w:rPr>
              <w:t>-</w:t>
            </w:r>
            <w:r w:rsidRPr="00E042E0">
              <w:rPr>
                <w:rFonts w:ascii="Cambria" w:hAnsi="Cambria"/>
                <w:color w:val="auto"/>
                <w:szCs w:val="24"/>
              </w:rPr>
              <w:t>sharing entitlement upfront, and then make appropriate adjustments on the first or second anniversary of Closing</w:t>
            </w:r>
            <w:r w:rsidR="00E41724">
              <w:rPr>
                <w:rFonts w:ascii="Cambria" w:hAnsi="Cambria"/>
                <w:color w:val="auto"/>
                <w:szCs w:val="24"/>
              </w:rPr>
              <w:t>.</w:t>
            </w:r>
            <w:r w:rsidRPr="00E042E0">
              <w:rPr>
                <w:rFonts w:ascii="Cambria" w:hAnsi="Cambria"/>
                <w:color w:val="auto"/>
                <w:szCs w:val="24"/>
              </w:rPr>
              <w:t>) There is no clarity on the appropriate adjustment</w:t>
            </w:r>
            <w:r w:rsidR="00E41724">
              <w:rPr>
                <w:rFonts w:ascii="Cambria" w:hAnsi="Cambria"/>
                <w:color w:val="auto"/>
                <w:szCs w:val="24"/>
              </w:rPr>
              <w:t>,</w:t>
            </w:r>
            <w:r w:rsidRPr="00E042E0">
              <w:rPr>
                <w:rFonts w:ascii="Cambria" w:hAnsi="Cambria"/>
                <w:color w:val="auto"/>
                <w:szCs w:val="24"/>
              </w:rPr>
              <w:t xml:space="preserve"> and there is no dollar amount on the upfront reimbursement. </w:t>
            </w:r>
          </w:p>
          <w:p w14:paraId="38113EAE" w14:textId="3091F5CD" w:rsidR="00F104A0" w:rsidRPr="00E042E0" w:rsidRDefault="00F104A0" w:rsidP="008D2BE4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Cs w:val="24"/>
              </w:rPr>
            </w:pPr>
            <w:r w:rsidRPr="00E042E0">
              <w:rPr>
                <w:rFonts w:ascii="Cambria" w:hAnsi="Cambria"/>
                <w:color w:val="auto"/>
                <w:szCs w:val="24"/>
              </w:rPr>
              <w:lastRenderedPageBreak/>
              <w:t>The revenue</w:t>
            </w:r>
            <w:r w:rsidR="00E41724">
              <w:rPr>
                <w:rFonts w:ascii="Cambria" w:hAnsi="Cambria"/>
                <w:color w:val="auto"/>
                <w:szCs w:val="24"/>
              </w:rPr>
              <w:t>-</w:t>
            </w:r>
            <w:r w:rsidRPr="00E042E0">
              <w:rPr>
                <w:rFonts w:ascii="Cambria" w:hAnsi="Cambria"/>
                <w:color w:val="auto"/>
                <w:szCs w:val="24"/>
              </w:rPr>
              <w:t xml:space="preserve">sharing arrangement is based on a net basis.  </w:t>
            </w:r>
            <w:r w:rsidR="00E41724">
              <w:rPr>
                <w:rFonts w:ascii="Cambria" w:hAnsi="Cambria"/>
                <w:color w:val="auto"/>
                <w:szCs w:val="24"/>
              </w:rPr>
              <w:t xml:space="preserve"> </w:t>
            </w:r>
            <w:r w:rsidRPr="00E042E0">
              <w:rPr>
                <w:rFonts w:ascii="Cambria" w:hAnsi="Cambria"/>
                <w:color w:val="auto"/>
                <w:szCs w:val="24"/>
              </w:rPr>
              <w:t xml:space="preserve">We understood that DB </w:t>
            </w:r>
            <w:r w:rsidR="00566F47" w:rsidRPr="00E042E0">
              <w:rPr>
                <w:rFonts w:ascii="Cambria" w:hAnsi="Cambria"/>
                <w:color w:val="auto"/>
                <w:szCs w:val="24"/>
              </w:rPr>
              <w:t>would</w:t>
            </w:r>
            <w:r w:rsidRPr="00E042E0">
              <w:rPr>
                <w:rFonts w:ascii="Cambria" w:hAnsi="Cambria"/>
                <w:color w:val="auto"/>
                <w:szCs w:val="24"/>
              </w:rPr>
              <w:t xml:space="preserve"> deduct custody and operating expenses from its annual gross revenue and then allocate a net reimbursement to the Issuer.  </w:t>
            </w:r>
          </w:p>
          <w:p w14:paraId="089E66B1" w14:textId="77777777" w:rsidR="00DC4919" w:rsidRPr="00E042E0" w:rsidRDefault="00DC4919" w:rsidP="008D2BE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Cs w:val="24"/>
              </w:rPr>
            </w:pPr>
          </w:p>
        </w:tc>
      </w:tr>
      <w:tr w:rsidR="00E042E0" w14:paraId="4E239FB1" w14:textId="77777777" w:rsidTr="00E04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F736510" w14:textId="77777777" w:rsidR="00E042E0" w:rsidRDefault="00566F47" w:rsidP="00DC491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  <w:u w:val="single"/>
              </w:rPr>
              <w:lastRenderedPageBreak/>
              <w:t xml:space="preserve">IR Budget </w:t>
            </w:r>
            <w:r w:rsidR="00E042E0" w:rsidRPr="00E042E0">
              <w:rPr>
                <w:rFonts w:asciiTheme="majorHAnsi" w:hAnsiTheme="majorHAnsi"/>
                <w:color w:val="auto"/>
              </w:rPr>
              <w:t xml:space="preserve"> </w:t>
            </w:r>
          </w:p>
          <w:p w14:paraId="052B316F" w14:textId="4B11C56F" w:rsidR="00566F47" w:rsidRPr="00E042E0" w:rsidRDefault="00566F47" w:rsidP="00C518AF">
            <w:pPr>
              <w:rPr>
                <w:rFonts w:asciiTheme="majorHAnsi" w:eastAsiaTheme="majorEastAsia" w:hAnsiTheme="majorHAnsi" w:cstheme="majorBidi"/>
                <w:b/>
                <w:iCs/>
                <w:color w:val="auto"/>
                <w:spacing w:val="15"/>
                <w:szCs w:val="24"/>
              </w:rPr>
            </w:pPr>
            <w:r>
              <w:rPr>
                <w:rFonts w:asciiTheme="majorHAnsi" w:hAnsiTheme="majorHAnsi"/>
                <w:color w:val="auto"/>
              </w:rPr>
              <w:t>DB offers to cover all expenses up to $100,000 per year for IR</w:t>
            </w:r>
            <w:r w:rsidR="00441045">
              <w:rPr>
                <w:rFonts w:asciiTheme="majorHAnsi" w:hAnsiTheme="majorHAnsi"/>
                <w:color w:val="auto"/>
              </w:rPr>
              <w:t>-</w:t>
            </w:r>
            <w:r>
              <w:rPr>
                <w:rFonts w:asciiTheme="majorHAnsi" w:hAnsiTheme="majorHAnsi"/>
                <w:color w:val="auto"/>
              </w:rPr>
              <w:t xml:space="preserve">related activities. </w:t>
            </w:r>
            <w:r w:rsidR="00441045">
              <w:rPr>
                <w:rFonts w:asciiTheme="majorHAnsi" w:hAnsiTheme="majorHAnsi"/>
                <w:color w:val="auto"/>
              </w:rPr>
              <w:t xml:space="preserve"> </w:t>
            </w:r>
            <w:r>
              <w:rPr>
                <w:rFonts w:asciiTheme="majorHAnsi" w:hAnsiTheme="majorHAnsi"/>
                <w:color w:val="auto"/>
              </w:rPr>
              <w:t xml:space="preserve">The money can be paid directly to </w:t>
            </w:r>
            <w:r w:rsidR="00441045">
              <w:rPr>
                <w:rFonts w:asciiTheme="majorHAnsi" w:hAnsiTheme="majorHAnsi"/>
                <w:color w:val="auto"/>
              </w:rPr>
              <w:t>third-</w:t>
            </w:r>
            <w:r>
              <w:rPr>
                <w:rFonts w:asciiTheme="majorHAnsi" w:hAnsiTheme="majorHAnsi"/>
                <w:color w:val="auto"/>
              </w:rPr>
              <w:t xml:space="preserve">party vendors. </w:t>
            </w:r>
          </w:p>
        </w:tc>
        <w:tc>
          <w:tcPr>
            <w:tcW w:w="2500" w:type="pct"/>
          </w:tcPr>
          <w:p w14:paraId="651412D7" w14:textId="6FF3E639" w:rsidR="00E042E0" w:rsidRPr="00E042E0" w:rsidRDefault="00E042E0" w:rsidP="008D2BE4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2"/>
              </w:rPr>
            </w:pPr>
          </w:p>
        </w:tc>
      </w:tr>
      <w:tr w:rsidR="00F007F8" w14:paraId="7422D158" w14:textId="77777777" w:rsidTr="00E042E0">
        <w:trPr>
          <w:trHeight w:val="1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6C61407" w14:textId="03D01389" w:rsidR="00F007F8" w:rsidRPr="00E042E0" w:rsidRDefault="00F007F8" w:rsidP="00F007F8">
            <w:pPr>
              <w:spacing w:before="0" w:after="0"/>
              <w:rPr>
                <w:rFonts w:ascii="Cambria" w:hAnsi="Cambria"/>
                <w:b/>
                <w:color w:val="auto"/>
                <w:szCs w:val="24"/>
                <w:u w:val="single"/>
              </w:rPr>
            </w:pPr>
            <w:r w:rsidRPr="00E042E0">
              <w:rPr>
                <w:rFonts w:ascii="Cambria" w:hAnsi="Cambria"/>
                <w:b/>
                <w:color w:val="auto"/>
                <w:szCs w:val="24"/>
                <w:u w:val="single"/>
              </w:rPr>
              <w:t>Fee structure (</w:t>
            </w:r>
            <w:r w:rsidR="00441045">
              <w:rPr>
                <w:rFonts w:ascii="Cambria" w:hAnsi="Cambria"/>
                <w:b/>
                <w:color w:val="auto"/>
                <w:szCs w:val="24"/>
                <w:u w:val="single"/>
              </w:rPr>
              <w:t>d</w:t>
            </w:r>
            <w:r w:rsidRPr="00E042E0">
              <w:rPr>
                <w:rFonts w:ascii="Cambria" w:hAnsi="Cambria"/>
                <w:b/>
                <w:color w:val="auto"/>
                <w:szCs w:val="24"/>
                <w:u w:val="single"/>
              </w:rPr>
              <w:t xml:space="preserve">iscount) on DR positions held by strategic investors: </w:t>
            </w:r>
          </w:p>
          <w:p w14:paraId="223D256F" w14:textId="3A6E99D7" w:rsidR="00F007F8" w:rsidRDefault="00F007F8" w:rsidP="00F007F8">
            <w:pPr>
              <w:rPr>
                <w:rFonts w:asciiTheme="majorHAnsi" w:hAnsiTheme="majorHAnsi"/>
                <w:b/>
                <w:color w:val="auto"/>
                <w:u w:val="single"/>
              </w:rPr>
            </w:pPr>
            <w:r w:rsidRPr="00E042E0">
              <w:rPr>
                <w:rFonts w:ascii="Cambria" w:hAnsi="Cambria"/>
                <w:color w:val="auto"/>
                <w:szCs w:val="24"/>
              </w:rPr>
              <w:t>DB has agreed to waive or rebate the dividend processing and/or annual servicing fees with respect to approximately 320,000,000 ADRs (the "ADR Waiver")</w:t>
            </w:r>
            <w:r w:rsidR="00441045">
              <w:rPr>
                <w:rFonts w:ascii="Cambria" w:hAnsi="Cambria"/>
                <w:color w:val="auto"/>
                <w:szCs w:val="24"/>
              </w:rPr>
              <w:t>.</w:t>
            </w:r>
          </w:p>
        </w:tc>
        <w:tc>
          <w:tcPr>
            <w:tcW w:w="2500" w:type="pct"/>
          </w:tcPr>
          <w:p w14:paraId="5B398033" w14:textId="608A2AEF" w:rsidR="00F007F8" w:rsidRPr="00E042E0" w:rsidRDefault="00F007F8" w:rsidP="00F007F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auto"/>
                <w:szCs w:val="24"/>
                <w:u w:val="single"/>
              </w:rPr>
            </w:pPr>
            <w:r w:rsidRPr="00E042E0">
              <w:rPr>
                <w:rFonts w:ascii="Cambria" w:hAnsi="Cambria"/>
                <w:b/>
                <w:color w:val="auto"/>
                <w:szCs w:val="24"/>
                <w:u w:val="single"/>
              </w:rPr>
              <w:t>Fee structure (</w:t>
            </w:r>
            <w:r w:rsidR="00441045">
              <w:rPr>
                <w:rFonts w:ascii="Cambria" w:hAnsi="Cambria"/>
                <w:b/>
                <w:color w:val="auto"/>
                <w:szCs w:val="24"/>
                <w:u w:val="single"/>
              </w:rPr>
              <w:t>d</w:t>
            </w:r>
            <w:r w:rsidRPr="00E042E0">
              <w:rPr>
                <w:rFonts w:ascii="Cambria" w:hAnsi="Cambria"/>
                <w:b/>
                <w:color w:val="auto"/>
                <w:szCs w:val="24"/>
                <w:u w:val="single"/>
              </w:rPr>
              <w:t xml:space="preserve">iscount) on positions held by strategic investors: </w:t>
            </w:r>
          </w:p>
          <w:p w14:paraId="47F7FA9F" w14:textId="44737069" w:rsidR="00F007F8" w:rsidRDefault="00F007F8" w:rsidP="00F007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Cs w:val="24"/>
              </w:rPr>
            </w:pPr>
            <w:r>
              <w:rPr>
                <w:rFonts w:ascii="Cambria" w:hAnsi="Cambria"/>
                <w:color w:val="auto"/>
                <w:szCs w:val="24"/>
              </w:rPr>
              <w:t xml:space="preserve">a) </w:t>
            </w:r>
            <w:r w:rsidRPr="00E042E0">
              <w:rPr>
                <w:rFonts w:ascii="Cambria" w:hAnsi="Cambria"/>
                <w:color w:val="auto"/>
                <w:szCs w:val="24"/>
              </w:rPr>
              <w:t>Although DB has agreed to waive annual service and dividend fee</w:t>
            </w:r>
            <w:r w:rsidR="001A56F5">
              <w:rPr>
                <w:rFonts w:ascii="Cambria" w:hAnsi="Cambria"/>
                <w:color w:val="auto"/>
                <w:szCs w:val="24"/>
              </w:rPr>
              <w:t>s,</w:t>
            </w:r>
            <w:r w:rsidRPr="00E042E0">
              <w:rPr>
                <w:rFonts w:ascii="Cambria" w:hAnsi="Cambria"/>
                <w:color w:val="auto"/>
                <w:szCs w:val="24"/>
              </w:rPr>
              <w:t xml:space="preserve"> there is no clarity whether this arrangement is applicable to issuance and cancelation activities. </w:t>
            </w:r>
          </w:p>
          <w:p w14:paraId="0F56744A" w14:textId="5D7AEEA7" w:rsidR="00F007F8" w:rsidRPr="00E042E0" w:rsidRDefault="00F007F8" w:rsidP="00F007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Cs w:val="24"/>
              </w:rPr>
            </w:pPr>
            <w:r>
              <w:rPr>
                <w:rFonts w:ascii="Cambria" w:hAnsi="Cambria"/>
                <w:color w:val="auto"/>
                <w:szCs w:val="24"/>
              </w:rPr>
              <w:t xml:space="preserve">b) </w:t>
            </w:r>
            <w:r w:rsidRPr="00E042E0">
              <w:rPr>
                <w:rFonts w:ascii="Cambria" w:hAnsi="Cambria"/>
                <w:color w:val="auto"/>
                <w:szCs w:val="24"/>
              </w:rPr>
              <w:t xml:space="preserve">Since the annual reimbursement is tied to </w:t>
            </w:r>
            <w:r w:rsidR="001A56F5">
              <w:rPr>
                <w:rFonts w:ascii="Cambria" w:hAnsi="Cambria"/>
                <w:color w:val="auto"/>
                <w:szCs w:val="24"/>
              </w:rPr>
              <w:t>the d</w:t>
            </w:r>
            <w:r w:rsidR="0090000A" w:rsidRPr="00E042E0">
              <w:rPr>
                <w:rFonts w:ascii="Cambria" w:hAnsi="Cambria"/>
                <w:color w:val="auto"/>
                <w:szCs w:val="24"/>
              </w:rPr>
              <w:t>epositary’s</w:t>
            </w:r>
            <w:r w:rsidRPr="00E042E0">
              <w:rPr>
                <w:rFonts w:ascii="Cambria" w:hAnsi="Cambria"/>
                <w:color w:val="auto"/>
                <w:szCs w:val="24"/>
              </w:rPr>
              <w:t xml:space="preserve"> annual revenue, the available reimbursement to the company will be lower</w:t>
            </w:r>
            <w:r w:rsidR="001A56F5">
              <w:rPr>
                <w:rFonts w:ascii="Cambria" w:hAnsi="Cambria"/>
                <w:color w:val="auto"/>
                <w:szCs w:val="24"/>
              </w:rPr>
              <w:t>,</w:t>
            </w:r>
            <w:r w:rsidRPr="00E042E0">
              <w:rPr>
                <w:rFonts w:ascii="Cambria" w:hAnsi="Cambria"/>
                <w:color w:val="auto"/>
                <w:szCs w:val="24"/>
              </w:rPr>
              <w:t xml:space="preserve"> due to the proposed discount for strategic shareholders</w:t>
            </w:r>
            <w:r w:rsidR="001A56F5">
              <w:rPr>
                <w:rFonts w:ascii="Cambria" w:hAnsi="Cambria"/>
                <w:color w:val="auto"/>
                <w:szCs w:val="24"/>
              </w:rPr>
              <w:t>.</w:t>
            </w:r>
          </w:p>
          <w:p w14:paraId="1ED1DD48" w14:textId="1F70C8A8" w:rsidR="00F007F8" w:rsidRPr="00E042E0" w:rsidRDefault="004229EE" w:rsidP="00F007F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2"/>
              </w:rPr>
            </w:pPr>
            <w:r w:rsidRPr="006841C8">
              <w:rPr>
                <w:rFonts w:ascii="Cambria" w:hAnsi="Cambria"/>
                <w:color w:val="auto"/>
                <w:sz w:val="20"/>
                <w:szCs w:val="20"/>
              </w:rPr>
              <w:t xml:space="preserve">Note: We have attached 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 xml:space="preserve">a </w:t>
            </w:r>
            <w:r w:rsidRPr="006841C8">
              <w:rPr>
                <w:rFonts w:ascii="Cambria" w:hAnsi="Cambria"/>
                <w:color w:val="auto"/>
                <w:sz w:val="20"/>
                <w:szCs w:val="20"/>
              </w:rPr>
              <w:t>cash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-</w:t>
            </w:r>
            <w:r w:rsidRPr="006841C8">
              <w:rPr>
                <w:rFonts w:ascii="Cambria" w:hAnsi="Cambria"/>
                <w:color w:val="auto"/>
                <w:sz w:val="20"/>
                <w:szCs w:val="20"/>
              </w:rPr>
              <w:t>flow model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r w:rsidRPr="006841C8">
              <w:rPr>
                <w:rFonts w:ascii="Cambria" w:hAnsi="Cambria"/>
                <w:color w:val="auto"/>
                <w:sz w:val="20"/>
                <w:szCs w:val="20"/>
              </w:rPr>
              <w:t>summarizing P&amp;L from each depositary bank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.</w:t>
            </w:r>
          </w:p>
        </w:tc>
      </w:tr>
    </w:tbl>
    <w:p w14:paraId="04AE3010" w14:textId="77777777" w:rsidR="005A44E8" w:rsidRDefault="005A44E8" w:rsidP="00B92993">
      <w:pPr>
        <w:rPr>
          <w:rFonts w:ascii="Cambria" w:hAnsi="Cambria"/>
          <w:color w:val="FF0000"/>
          <w:sz w:val="40"/>
        </w:rPr>
      </w:pPr>
    </w:p>
    <w:p w14:paraId="7D5EE49A" w14:textId="35797864" w:rsidR="005A44E8" w:rsidRDefault="005A44E8" w:rsidP="00B92993">
      <w:pPr>
        <w:rPr>
          <w:rFonts w:ascii="Cambria" w:hAnsi="Cambria"/>
          <w:b/>
          <w:color w:val="auto"/>
          <w:sz w:val="28"/>
          <w:szCs w:val="28"/>
          <w:u w:val="single"/>
        </w:rPr>
      </w:pPr>
      <w:r w:rsidRPr="005A44E8">
        <w:rPr>
          <w:rFonts w:ascii="Cambria" w:hAnsi="Cambria"/>
          <w:b/>
          <w:color w:val="auto"/>
          <w:sz w:val="28"/>
          <w:szCs w:val="28"/>
          <w:u w:val="single"/>
        </w:rPr>
        <w:t xml:space="preserve">DB’s </w:t>
      </w:r>
      <w:r w:rsidR="00F87265" w:rsidRPr="005A44E8">
        <w:rPr>
          <w:rFonts w:ascii="Cambria" w:hAnsi="Cambria"/>
          <w:b/>
          <w:color w:val="auto"/>
          <w:sz w:val="28"/>
          <w:szCs w:val="28"/>
          <w:u w:val="single"/>
        </w:rPr>
        <w:t xml:space="preserve">Overall </w:t>
      </w:r>
      <w:r w:rsidR="00F87265">
        <w:rPr>
          <w:rFonts w:ascii="Cambria" w:hAnsi="Cambria"/>
          <w:b/>
          <w:color w:val="auto"/>
          <w:sz w:val="28"/>
          <w:szCs w:val="28"/>
          <w:u w:val="single"/>
        </w:rPr>
        <w:t>S</w:t>
      </w:r>
      <w:r w:rsidRPr="005A44E8">
        <w:rPr>
          <w:rFonts w:ascii="Cambria" w:hAnsi="Cambria"/>
          <w:b/>
          <w:color w:val="auto"/>
          <w:sz w:val="28"/>
          <w:szCs w:val="28"/>
          <w:u w:val="single"/>
        </w:rPr>
        <w:t>core</w:t>
      </w:r>
      <w:r w:rsidR="00570A99">
        <w:rPr>
          <w:rFonts w:ascii="Cambria" w:hAnsi="Cambria"/>
          <w:b/>
          <w:color w:val="auto"/>
          <w:sz w:val="28"/>
          <w:szCs w:val="28"/>
          <w:u w:val="single"/>
        </w:rPr>
        <w:t xml:space="preserve"> – 7.9</w:t>
      </w:r>
    </w:p>
    <w:p w14:paraId="42E9F174" w14:textId="77777777" w:rsidR="00762AB3" w:rsidRDefault="00762AB3" w:rsidP="00B92993">
      <w:pPr>
        <w:rPr>
          <w:rFonts w:ascii="Cambria" w:hAnsi="Cambria"/>
          <w:b/>
          <w:color w:val="auto"/>
          <w:sz w:val="28"/>
          <w:szCs w:val="28"/>
          <w:u w:val="single"/>
        </w:rPr>
      </w:pPr>
    </w:p>
    <w:p w14:paraId="23E0B62D" w14:textId="77777777" w:rsidR="00762AB3" w:rsidRDefault="00762AB3" w:rsidP="00B92993">
      <w:pPr>
        <w:rPr>
          <w:rFonts w:ascii="Cambria" w:hAnsi="Cambria"/>
          <w:b/>
          <w:color w:val="auto"/>
          <w:sz w:val="28"/>
          <w:szCs w:val="28"/>
          <w:u w:val="single"/>
        </w:rPr>
      </w:pPr>
    </w:p>
    <w:p w14:paraId="7EB99750" w14:textId="77777777" w:rsidR="00762AB3" w:rsidRPr="005A44E8" w:rsidRDefault="00762AB3" w:rsidP="00B92993">
      <w:pPr>
        <w:rPr>
          <w:rFonts w:ascii="Cambria" w:hAnsi="Cambria"/>
          <w:b/>
          <w:color w:val="auto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2260"/>
        <w:gridCol w:w="2858"/>
        <w:gridCol w:w="2487"/>
      </w:tblGrid>
      <w:tr w:rsidR="005A44E8" w:rsidRPr="00750F72" w14:paraId="0492FDE5" w14:textId="77777777" w:rsidTr="00536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74CAF0A3" w14:textId="77777777" w:rsidR="005A44E8" w:rsidRPr="00750F72" w:rsidRDefault="005A44E8" w:rsidP="00536CB1">
            <w:pPr>
              <w:jc w:val="both"/>
              <w:rPr>
                <w:rFonts w:ascii="Cambria" w:hAnsi="Cambria" w:cs="Times New Roman"/>
                <w:b/>
                <w:color w:val="auto"/>
                <w:szCs w:val="24"/>
              </w:rPr>
            </w:pPr>
            <w:r w:rsidRPr="00750F72">
              <w:rPr>
                <w:rFonts w:ascii="Cambria" w:hAnsi="Cambria" w:cs="Times New Roman"/>
                <w:b/>
                <w:color w:val="auto"/>
                <w:szCs w:val="24"/>
              </w:rPr>
              <w:lastRenderedPageBreak/>
              <w:t xml:space="preserve">Item </w:t>
            </w:r>
          </w:p>
        </w:tc>
        <w:tc>
          <w:tcPr>
            <w:tcW w:w="2260" w:type="dxa"/>
          </w:tcPr>
          <w:p w14:paraId="287E8AB0" w14:textId="77777777" w:rsidR="005A44E8" w:rsidRPr="00750F72" w:rsidRDefault="005A44E8" w:rsidP="00536C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Cs w:val="24"/>
              </w:rPr>
            </w:pPr>
            <w:r w:rsidRPr="00750F72">
              <w:rPr>
                <w:rFonts w:ascii="Cambria" w:hAnsi="Cambria" w:cs="Times New Roman"/>
                <w:b/>
                <w:color w:val="auto"/>
                <w:szCs w:val="24"/>
              </w:rPr>
              <w:t xml:space="preserve">Score </w:t>
            </w:r>
          </w:p>
        </w:tc>
        <w:tc>
          <w:tcPr>
            <w:tcW w:w="2858" w:type="dxa"/>
          </w:tcPr>
          <w:p w14:paraId="199B43F4" w14:textId="77777777" w:rsidR="005A44E8" w:rsidRPr="00750F72" w:rsidRDefault="005A44E8" w:rsidP="00536C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Cs w:val="24"/>
              </w:rPr>
            </w:pPr>
            <w:r w:rsidRPr="00750F72">
              <w:rPr>
                <w:rFonts w:ascii="Cambria" w:hAnsi="Cambria" w:cs="Times New Roman"/>
                <w:b/>
                <w:color w:val="auto"/>
                <w:szCs w:val="24"/>
              </w:rPr>
              <w:t>Percentage allocation</w:t>
            </w:r>
          </w:p>
        </w:tc>
        <w:tc>
          <w:tcPr>
            <w:tcW w:w="2487" w:type="dxa"/>
          </w:tcPr>
          <w:p w14:paraId="748A9C16" w14:textId="77777777" w:rsidR="005A44E8" w:rsidRPr="00750F72" w:rsidRDefault="005A44E8" w:rsidP="00536C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Cs w:val="24"/>
              </w:rPr>
            </w:pPr>
            <w:r w:rsidRPr="00750F72">
              <w:rPr>
                <w:rFonts w:ascii="Cambria" w:hAnsi="Cambria" w:cs="Times New Roman"/>
                <w:b/>
                <w:color w:val="auto"/>
                <w:szCs w:val="24"/>
              </w:rPr>
              <w:t xml:space="preserve">Total Score </w:t>
            </w:r>
          </w:p>
        </w:tc>
      </w:tr>
      <w:tr w:rsidR="005A44E8" w:rsidRPr="00750F72" w14:paraId="70A9278D" w14:textId="77777777" w:rsidTr="00536CB1">
        <w:trPr>
          <w:trHeight w:hRule="exact"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1622DE16" w14:textId="77777777" w:rsidR="005A44E8" w:rsidRPr="00750F72" w:rsidRDefault="005A44E8" w:rsidP="00536CB1">
            <w:pPr>
              <w:jc w:val="both"/>
              <w:rPr>
                <w:rFonts w:ascii="Cambria" w:hAnsi="Cambria" w:cs="Times New Roman"/>
                <w:color w:val="auto"/>
                <w:sz w:val="22"/>
              </w:rPr>
            </w:pPr>
            <w:r w:rsidRPr="00750F72">
              <w:rPr>
                <w:rFonts w:ascii="Cambria" w:hAnsi="Cambria" w:cs="Times New Roman"/>
                <w:color w:val="auto"/>
                <w:sz w:val="22"/>
              </w:rPr>
              <w:t>Reimbursement allocation</w:t>
            </w:r>
            <w:r>
              <w:rPr>
                <w:rFonts w:ascii="Cambria" w:hAnsi="Cambria" w:cs="Times New Roman"/>
                <w:color w:val="auto"/>
                <w:sz w:val="22"/>
              </w:rPr>
              <w:t xml:space="preserve"> (structure including upfront reimbursement)</w:t>
            </w:r>
          </w:p>
        </w:tc>
        <w:tc>
          <w:tcPr>
            <w:tcW w:w="2260" w:type="dxa"/>
          </w:tcPr>
          <w:p w14:paraId="52AEA5B1" w14:textId="77777777" w:rsidR="005A44E8" w:rsidRPr="00750F72" w:rsidRDefault="005A44E8" w:rsidP="00536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 w:rsidRPr="00750F72">
              <w:rPr>
                <w:rFonts w:ascii="Cambria" w:hAnsi="Cambria" w:cs="Times New Roman"/>
                <w:color w:val="auto"/>
                <w:sz w:val="22"/>
              </w:rPr>
              <w:t>8</w:t>
            </w:r>
          </w:p>
        </w:tc>
        <w:tc>
          <w:tcPr>
            <w:tcW w:w="2858" w:type="dxa"/>
          </w:tcPr>
          <w:p w14:paraId="11175DE1" w14:textId="77777777" w:rsidR="005A44E8" w:rsidRPr="00750F72" w:rsidRDefault="005A44E8" w:rsidP="00536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 w:rsidRPr="00750F72">
              <w:rPr>
                <w:rFonts w:ascii="Cambria" w:hAnsi="Cambria" w:cs="Times New Roman"/>
                <w:color w:val="auto"/>
                <w:sz w:val="22"/>
              </w:rPr>
              <w:t>50%</w:t>
            </w:r>
          </w:p>
        </w:tc>
        <w:tc>
          <w:tcPr>
            <w:tcW w:w="2487" w:type="dxa"/>
          </w:tcPr>
          <w:p w14:paraId="48794DC4" w14:textId="1341BD13" w:rsidR="005A44E8" w:rsidRPr="00750F72" w:rsidRDefault="002A49D1" w:rsidP="00536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4</w:t>
            </w:r>
          </w:p>
        </w:tc>
      </w:tr>
      <w:tr w:rsidR="005A44E8" w:rsidRPr="00750F72" w14:paraId="27EB266F" w14:textId="77777777" w:rsidTr="00536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245F33C7" w14:textId="77777777" w:rsidR="005A44E8" w:rsidRPr="00750F72" w:rsidRDefault="005A44E8" w:rsidP="00536CB1">
            <w:pPr>
              <w:jc w:val="both"/>
              <w:rPr>
                <w:rFonts w:ascii="Cambria" w:hAnsi="Cambria" w:cs="Times New Roman"/>
                <w:color w:val="auto"/>
                <w:sz w:val="22"/>
              </w:rPr>
            </w:pPr>
            <w:r w:rsidRPr="00750F72">
              <w:rPr>
                <w:rFonts w:ascii="Cambria" w:hAnsi="Cambria" w:cs="Times New Roman"/>
                <w:color w:val="auto"/>
                <w:sz w:val="22"/>
              </w:rPr>
              <w:t>Discount to strategic shareholders</w:t>
            </w:r>
          </w:p>
        </w:tc>
        <w:tc>
          <w:tcPr>
            <w:tcW w:w="2260" w:type="dxa"/>
          </w:tcPr>
          <w:p w14:paraId="73520DF7" w14:textId="7D6C705C" w:rsidR="005A44E8" w:rsidRPr="00750F72" w:rsidRDefault="00353678" w:rsidP="00536CB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10</w:t>
            </w:r>
          </w:p>
        </w:tc>
        <w:tc>
          <w:tcPr>
            <w:tcW w:w="2858" w:type="dxa"/>
          </w:tcPr>
          <w:p w14:paraId="2DEEB12C" w14:textId="77777777" w:rsidR="005A44E8" w:rsidRPr="00750F72" w:rsidRDefault="005A44E8" w:rsidP="00536CB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 w:rsidRPr="00750F72">
              <w:rPr>
                <w:rFonts w:ascii="Cambria" w:hAnsi="Cambria" w:cs="Times New Roman"/>
                <w:color w:val="auto"/>
                <w:sz w:val="22"/>
              </w:rPr>
              <w:t>15%</w:t>
            </w:r>
          </w:p>
        </w:tc>
        <w:tc>
          <w:tcPr>
            <w:tcW w:w="2487" w:type="dxa"/>
          </w:tcPr>
          <w:p w14:paraId="390FA2F3" w14:textId="52FBBF71" w:rsidR="005A44E8" w:rsidRPr="00750F72" w:rsidRDefault="00353678" w:rsidP="00536CB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1.5</w:t>
            </w:r>
          </w:p>
        </w:tc>
      </w:tr>
      <w:tr w:rsidR="005A44E8" w:rsidRPr="00750F72" w14:paraId="7A5259C3" w14:textId="77777777" w:rsidTr="00536CB1">
        <w:trPr>
          <w:trHeight w:hRule="exact"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032E4838" w14:textId="77777777" w:rsidR="005A44E8" w:rsidRPr="00750F72" w:rsidRDefault="005A44E8" w:rsidP="00536CB1">
            <w:pPr>
              <w:jc w:val="both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 xml:space="preserve">Proxy/Corporate </w:t>
            </w:r>
            <w:r w:rsidRPr="00750F72">
              <w:rPr>
                <w:rFonts w:ascii="Cambria" w:hAnsi="Cambria" w:cs="Times New Roman"/>
                <w:color w:val="auto"/>
                <w:sz w:val="22"/>
              </w:rPr>
              <w:t xml:space="preserve">Action related services </w:t>
            </w:r>
          </w:p>
        </w:tc>
        <w:tc>
          <w:tcPr>
            <w:tcW w:w="2260" w:type="dxa"/>
          </w:tcPr>
          <w:p w14:paraId="2195424B" w14:textId="5FAEDDD5" w:rsidR="005A44E8" w:rsidRPr="00750F72" w:rsidRDefault="00353678" w:rsidP="00536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7</w:t>
            </w:r>
          </w:p>
        </w:tc>
        <w:tc>
          <w:tcPr>
            <w:tcW w:w="2858" w:type="dxa"/>
          </w:tcPr>
          <w:p w14:paraId="761D08B1" w14:textId="77777777" w:rsidR="005A44E8" w:rsidRPr="00750F72" w:rsidRDefault="005A44E8" w:rsidP="00536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 w:rsidRPr="00750F72">
              <w:rPr>
                <w:rFonts w:ascii="Cambria" w:hAnsi="Cambria" w:cs="Times New Roman"/>
                <w:color w:val="auto"/>
                <w:sz w:val="22"/>
              </w:rPr>
              <w:t>10%</w:t>
            </w:r>
          </w:p>
        </w:tc>
        <w:tc>
          <w:tcPr>
            <w:tcW w:w="2487" w:type="dxa"/>
          </w:tcPr>
          <w:p w14:paraId="52E37027" w14:textId="3D501D67" w:rsidR="005A44E8" w:rsidRPr="00750F72" w:rsidRDefault="00353678" w:rsidP="00536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0.7</w:t>
            </w:r>
          </w:p>
        </w:tc>
      </w:tr>
      <w:tr w:rsidR="005A44E8" w:rsidRPr="00750F72" w14:paraId="1F0B28E4" w14:textId="77777777" w:rsidTr="00536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444A86A0" w14:textId="100C5C43" w:rsidR="005A44E8" w:rsidRDefault="005A44E8" w:rsidP="00536CB1">
            <w:pPr>
              <w:jc w:val="both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Client Support (R</w:t>
            </w:r>
            <w:r w:rsidR="00010294">
              <w:rPr>
                <w:rFonts w:ascii="Cambria" w:hAnsi="Cambria" w:cs="Times New Roman"/>
                <w:color w:val="auto"/>
                <w:sz w:val="22"/>
              </w:rPr>
              <w:t>egional Management</w:t>
            </w:r>
            <w:r>
              <w:rPr>
                <w:rFonts w:ascii="Cambria" w:hAnsi="Cambria" w:cs="Times New Roman"/>
                <w:color w:val="auto"/>
                <w:sz w:val="22"/>
              </w:rPr>
              <w:t xml:space="preserve"> coverage)</w:t>
            </w:r>
          </w:p>
        </w:tc>
        <w:tc>
          <w:tcPr>
            <w:tcW w:w="2260" w:type="dxa"/>
          </w:tcPr>
          <w:p w14:paraId="7A1B7A78" w14:textId="74D54F2C" w:rsidR="005A44E8" w:rsidRPr="00750F72" w:rsidRDefault="00570A99" w:rsidP="00536CB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7</w:t>
            </w:r>
          </w:p>
        </w:tc>
        <w:tc>
          <w:tcPr>
            <w:tcW w:w="2858" w:type="dxa"/>
          </w:tcPr>
          <w:p w14:paraId="0B363F57" w14:textId="77777777" w:rsidR="005A44E8" w:rsidRPr="00750F72" w:rsidRDefault="005A44E8" w:rsidP="00536CB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10%</w:t>
            </w:r>
          </w:p>
        </w:tc>
        <w:tc>
          <w:tcPr>
            <w:tcW w:w="2487" w:type="dxa"/>
          </w:tcPr>
          <w:p w14:paraId="3B2895E4" w14:textId="25FB15D3" w:rsidR="005A44E8" w:rsidRPr="00750F72" w:rsidRDefault="002A49D1" w:rsidP="00536CB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0</w:t>
            </w:r>
            <w:r w:rsidR="00570A99">
              <w:rPr>
                <w:rFonts w:ascii="Cambria" w:hAnsi="Cambria" w:cs="Times New Roman"/>
                <w:color w:val="auto"/>
                <w:sz w:val="22"/>
              </w:rPr>
              <w:t>.7</w:t>
            </w:r>
          </w:p>
        </w:tc>
      </w:tr>
      <w:tr w:rsidR="005A44E8" w:rsidRPr="00750F72" w14:paraId="78BEA549" w14:textId="77777777" w:rsidTr="00536CB1">
        <w:trPr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0A2C7D3C" w14:textId="77777777" w:rsidR="005A44E8" w:rsidRPr="00750F72" w:rsidRDefault="005A44E8" w:rsidP="00536CB1">
            <w:pPr>
              <w:jc w:val="both"/>
              <w:rPr>
                <w:rFonts w:ascii="Cambria" w:hAnsi="Cambria" w:cs="Times New Roman"/>
                <w:color w:val="auto"/>
                <w:sz w:val="22"/>
              </w:rPr>
            </w:pPr>
            <w:r w:rsidRPr="00750F72">
              <w:rPr>
                <w:rFonts w:ascii="Cambria" w:hAnsi="Cambria" w:cs="Times New Roman"/>
                <w:color w:val="auto"/>
                <w:sz w:val="22"/>
              </w:rPr>
              <w:t xml:space="preserve">Local presence </w:t>
            </w:r>
          </w:p>
        </w:tc>
        <w:tc>
          <w:tcPr>
            <w:tcW w:w="2260" w:type="dxa"/>
          </w:tcPr>
          <w:p w14:paraId="67CD286F" w14:textId="2D52D7B0" w:rsidR="005A44E8" w:rsidRPr="00750F72" w:rsidRDefault="00353678" w:rsidP="00536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8</w:t>
            </w:r>
          </w:p>
        </w:tc>
        <w:tc>
          <w:tcPr>
            <w:tcW w:w="2858" w:type="dxa"/>
          </w:tcPr>
          <w:p w14:paraId="449508A9" w14:textId="77777777" w:rsidR="005A44E8" w:rsidRPr="00750F72" w:rsidRDefault="005A44E8" w:rsidP="00536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 w:rsidRPr="00750F72">
              <w:rPr>
                <w:rFonts w:ascii="Cambria" w:hAnsi="Cambria" w:cs="Times New Roman"/>
                <w:color w:val="auto"/>
                <w:sz w:val="22"/>
              </w:rPr>
              <w:t>5%</w:t>
            </w:r>
          </w:p>
        </w:tc>
        <w:tc>
          <w:tcPr>
            <w:tcW w:w="2487" w:type="dxa"/>
          </w:tcPr>
          <w:p w14:paraId="247A092C" w14:textId="2CD9C2F8" w:rsidR="005A44E8" w:rsidRPr="00750F72" w:rsidRDefault="002A49D1" w:rsidP="00536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0.</w:t>
            </w:r>
            <w:r w:rsidR="00570A99">
              <w:rPr>
                <w:rFonts w:ascii="Cambria" w:hAnsi="Cambria" w:cs="Times New Roman"/>
                <w:color w:val="auto"/>
                <w:sz w:val="22"/>
              </w:rPr>
              <w:t>4</w:t>
            </w:r>
          </w:p>
        </w:tc>
      </w:tr>
      <w:tr w:rsidR="005A44E8" w:rsidRPr="00750F72" w14:paraId="5D1F023C" w14:textId="77777777" w:rsidTr="00536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44D7EC96" w14:textId="77777777" w:rsidR="005A44E8" w:rsidRPr="00750F72" w:rsidRDefault="005A44E8" w:rsidP="00536CB1">
            <w:pPr>
              <w:jc w:val="both"/>
              <w:rPr>
                <w:rFonts w:ascii="Cambria" w:hAnsi="Cambria" w:cs="Times New Roman"/>
                <w:color w:val="auto"/>
                <w:sz w:val="22"/>
              </w:rPr>
            </w:pPr>
            <w:r w:rsidRPr="00750F72">
              <w:rPr>
                <w:rFonts w:ascii="Cambria" w:hAnsi="Cambria" w:cs="Times New Roman"/>
                <w:color w:val="auto"/>
                <w:sz w:val="22"/>
              </w:rPr>
              <w:t>IR Services (including access to DR systems, IPREO or TR’s systems)</w:t>
            </w:r>
          </w:p>
        </w:tc>
        <w:tc>
          <w:tcPr>
            <w:tcW w:w="2260" w:type="dxa"/>
          </w:tcPr>
          <w:p w14:paraId="2A9C1521" w14:textId="0073AEEB" w:rsidR="005A44E8" w:rsidRPr="00750F72" w:rsidRDefault="00570A99" w:rsidP="00536CB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7</w:t>
            </w:r>
          </w:p>
        </w:tc>
        <w:tc>
          <w:tcPr>
            <w:tcW w:w="2858" w:type="dxa"/>
          </w:tcPr>
          <w:p w14:paraId="40E35646" w14:textId="77777777" w:rsidR="005A44E8" w:rsidRPr="00750F72" w:rsidRDefault="005A44E8" w:rsidP="00536CB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5%</w:t>
            </w:r>
          </w:p>
        </w:tc>
        <w:tc>
          <w:tcPr>
            <w:tcW w:w="2487" w:type="dxa"/>
          </w:tcPr>
          <w:p w14:paraId="6C71999D" w14:textId="3E1BAEF5" w:rsidR="005A44E8" w:rsidRPr="00750F72" w:rsidRDefault="00570A99" w:rsidP="00536CB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0.3</w:t>
            </w:r>
          </w:p>
        </w:tc>
      </w:tr>
      <w:tr w:rsidR="005A44E8" w:rsidRPr="00750F72" w14:paraId="77BF34F0" w14:textId="77777777" w:rsidTr="00536CB1">
        <w:trPr>
          <w:trHeight w:hRule="exact" w:val="1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09A5AEB6" w14:textId="453C3834" w:rsidR="005A44E8" w:rsidRPr="00750F72" w:rsidRDefault="005A44E8" w:rsidP="00536CB1">
            <w:pPr>
              <w:jc w:val="both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Termination/</w:t>
            </w:r>
            <w:r w:rsidR="00FD7B2E">
              <w:rPr>
                <w:rFonts w:ascii="Cambria" w:hAnsi="Cambria" w:cs="Times New Roman"/>
                <w:color w:val="auto"/>
                <w:sz w:val="22"/>
              </w:rPr>
              <w:t>s</w:t>
            </w:r>
            <w:r>
              <w:rPr>
                <w:rFonts w:ascii="Cambria" w:hAnsi="Cambria" w:cs="Times New Roman"/>
                <w:color w:val="auto"/>
                <w:sz w:val="22"/>
              </w:rPr>
              <w:t>tructure of the new agreement (Including termination clause)</w:t>
            </w:r>
          </w:p>
        </w:tc>
        <w:tc>
          <w:tcPr>
            <w:tcW w:w="2260" w:type="dxa"/>
          </w:tcPr>
          <w:p w14:paraId="342C39B6" w14:textId="6F429137" w:rsidR="005A44E8" w:rsidRDefault="00353678" w:rsidP="00536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6</w:t>
            </w:r>
          </w:p>
        </w:tc>
        <w:tc>
          <w:tcPr>
            <w:tcW w:w="2858" w:type="dxa"/>
          </w:tcPr>
          <w:p w14:paraId="1FAEBA6F" w14:textId="77777777" w:rsidR="005A44E8" w:rsidRDefault="005A44E8" w:rsidP="00536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5%</w:t>
            </w:r>
          </w:p>
        </w:tc>
        <w:tc>
          <w:tcPr>
            <w:tcW w:w="2487" w:type="dxa"/>
          </w:tcPr>
          <w:p w14:paraId="0D32FA76" w14:textId="4713C442" w:rsidR="005A44E8" w:rsidRPr="00750F72" w:rsidRDefault="00570A99" w:rsidP="00536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0.3</w:t>
            </w:r>
          </w:p>
        </w:tc>
      </w:tr>
    </w:tbl>
    <w:p w14:paraId="7C8426A1" w14:textId="77777777" w:rsidR="005A44E8" w:rsidRDefault="005A44E8" w:rsidP="00B92993">
      <w:pPr>
        <w:rPr>
          <w:rFonts w:ascii="Cambria" w:hAnsi="Cambria"/>
          <w:color w:val="FF0000"/>
          <w:sz w:val="40"/>
        </w:rPr>
      </w:pPr>
    </w:p>
    <w:p w14:paraId="29767B34" w14:textId="731ADF80" w:rsidR="005A44E8" w:rsidRDefault="008635B6" w:rsidP="00B92993">
      <w:pPr>
        <w:rPr>
          <w:rFonts w:ascii="Cambria" w:hAnsi="Cambria"/>
          <w:b/>
          <w:color w:val="FF0000"/>
          <w:sz w:val="32"/>
          <w:szCs w:val="32"/>
          <w:u w:val="single"/>
        </w:rPr>
      </w:pPr>
      <w:r w:rsidRPr="005A44E8">
        <w:rPr>
          <w:rFonts w:ascii="Cambria" w:hAnsi="Cambria"/>
          <w:b/>
          <w:color w:val="FF0000"/>
          <w:sz w:val="32"/>
          <w:szCs w:val="32"/>
          <w:u w:val="single"/>
        </w:rPr>
        <w:t xml:space="preserve">JP Morgan Proposal </w:t>
      </w:r>
    </w:p>
    <w:p w14:paraId="446FA76D" w14:textId="6E84559A" w:rsidR="008635B6" w:rsidRPr="005A44E8" w:rsidRDefault="005A44E8" w:rsidP="00B92993">
      <w:pPr>
        <w:rPr>
          <w:rFonts w:ascii="Cambria" w:hAnsi="Cambria"/>
          <w:color w:val="auto"/>
          <w:szCs w:val="24"/>
        </w:rPr>
      </w:pPr>
      <w:r w:rsidRPr="005A44E8">
        <w:rPr>
          <w:rFonts w:ascii="Cambria" w:hAnsi="Cambria"/>
          <w:color w:val="auto"/>
          <w:szCs w:val="24"/>
        </w:rPr>
        <w:lastRenderedPageBreak/>
        <w:t>On November __</w:t>
      </w:r>
      <w:r>
        <w:rPr>
          <w:rFonts w:ascii="Cambria" w:hAnsi="Cambria"/>
          <w:color w:val="auto"/>
          <w:szCs w:val="24"/>
        </w:rPr>
        <w:t xml:space="preserve"> 2013</w:t>
      </w:r>
      <w:r w:rsidR="00026D37">
        <w:rPr>
          <w:rFonts w:ascii="Cambria" w:hAnsi="Cambria"/>
          <w:color w:val="auto"/>
          <w:szCs w:val="24"/>
        </w:rPr>
        <w:t>,</w:t>
      </w:r>
      <w:r>
        <w:rPr>
          <w:rFonts w:ascii="Cambria" w:hAnsi="Cambria"/>
          <w:color w:val="auto"/>
          <w:szCs w:val="24"/>
        </w:rPr>
        <w:t xml:space="preserve"> </w:t>
      </w:r>
      <w:r w:rsidR="00026D37">
        <w:rPr>
          <w:rFonts w:ascii="Cambria" w:hAnsi="Cambria"/>
          <w:color w:val="auto"/>
          <w:szCs w:val="24"/>
        </w:rPr>
        <w:t xml:space="preserve">Norilsk </w:t>
      </w:r>
      <w:r>
        <w:rPr>
          <w:rFonts w:ascii="Cambria" w:hAnsi="Cambria"/>
          <w:color w:val="auto"/>
          <w:szCs w:val="24"/>
        </w:rPr>
        <w:t xml:space="preserve">received </w:t>
      </w:r>
      <w:r w:rsidR="00026D37">
        <w:rPr>
          <w:rFonts w:ascii="Cambria" w:hAnsi="Cambria"/>
          <w:color w:val="auto"/>
          <w:szCs w:val="24"/>
        </w:rPr>
        <w:t>JP Morgan’s</w:t>
      </w:r>
      <w:r w:rsidR="00026D37" w:rsidRPr="005A44E8">
        <w:rPr>
          <w:rFonts w:ascii="Cambria" w:hAnsi="Cambria"/>
          <w:color w:val="auto"/>
          <w:szCs w:val="24"/>
        </w:rPr>
        <w:t xml:space="preserve"> </w:t>
      </w:r>
      <w:r w:rsidRPr="005A44E8">
        <w:rPr>
          <w:rFonts w:ascii="Cambria" w:hAnsi="Cambria"/>
          <w:color w:val="auto"/>
          <w:szCs w:val="24"/>
        </w:rPr>
        <w:t xml:space="preserve">proposal in a form of </w:t>
      </w:r>
      <w:r w:rsidR="00026D37">
        <w:rPr>
          <w:rFonts w:ascii="Cambria" w:hAnsi="Cambria"/>
          <w:color w:val="auto"/>
          <w:szCs w:val="24"/>
        </w:rPr>
        <w:t>an</w:t>
      </w:r>
      <w:r w:rsidR="00026D37" w:rsidRPr="005A44E8">
        <w:rPr>
          <w:rFonts w:ascii="Cambria" w:hAnsi="Cambria"/>
          <w:color w:val="auto"/>
          <w:szCs w:val="24"/>
        </w:rPr>
        <w:t xml:space="preserve"> </w:t>
      </w:r>
      <w:r w:rsidRPr="005A44E8">
        <w:rPr>
          <w:rFonts w:ascii="Cambria" w:hAnsi="Cambria"/>
          <w:color w:val="auto"/>
          <w:szCs w:val="24"/>
        </w:rPr>
        <w:t xml:space="preserve">email. </w:t>
      </w:r>
      <w:r w:rsidR="00026D37">
        <w:rPr>
          <w:rFonts w:ascii="Cambria" w:hAnsi="Cambria"/>
          <w:color w:val="auto"/>
          <w:szCs w:val="24"/>
        </w:rPr>
        <w:t xml:space="preserve">  </w:t>
      </w:r>
      <w:r w:rsidRPr="005A44E8">
        <w:rPr>
          <w:rFonts w:ascii="Cambria" w:hAnsi="Cambria"/>
          <w:color w:val="auto"/>
          <w:szCs w:val="24"/>
        </w:rPr>
        <w:t xml:space="preserve">JPM never submitted an official proposal. </w:t>
      </w:r>
      <w:r w:rsidR="00026D37">
        <w:rPr>
          <w:rFonts w:ascii="Cambria" w:hAnsi="Cambria"/>
          <w:color w:val="auto"/>
          <w:szCs w:val="24"/>
        </w:rPr>
        <w:t xml:space="preserve"> </w:t>
      </w:r>
      <w:r w:rsidRPr="005A44E8">
        <w:rPr>
          <w:rFonts w:ascii="Cambria" w:hAnsi="Cambria"/>
          <w:color w:val="auto"/>
          <w:szCs w:val="24"/>
        </w:rPr>
        <w:t xml:space="preserve">Therefore it would be difficult to assess JPM’s non-financial services. </w:t>
      </w:r>
    </w:p>
    <w:tbl>
      <w:tblPr>
        <w:tblStyle w:val="TableGrid"/>
        <w:tblW w:w="4899" w:type="pct"/>
        <w:tblLook w:val="00A0" w:firstRow="1" w:lastRow="0" w:firstColumn="1" w:lastColumn="0" w:noHBand="0" w:noVBand="0"/>
      </w:tblPr>
      <w:tblGrid>
        <w:gridCol w:w="5220"/>
        <w:gridCol w:w="5221"/>
      </w:tblGrid>
      <w:tr w:rsidR="008635B6" w14:paraId="0E27FB0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A76E47B" w14:textId="65D4EB2E" w:rsidR="008635B6" w:rsidRPr="00CA6068" w:rsidRDefault="004229EE" w:rsidP="00357414">
            <w:pPr>
              <w:jc w:val="center"/>
              <w:rPr>
                <w:rFonts w:ascii="Cambria" w:hAnsi="Cambria"/>
                <w:b/>
                <w:color w:val="FF0000"/>
                <w:sz w:val="40"/>
              </w:rPr>
            </w:pPr>
            <w:r w:rsidRPr="00CA6068">
              <w:rPr>
                <w:rFonts w:ascii="Cambria" w:hAnsi="Cambria"/>
                <w:b/>
                <w:color w:val="FF0000"/>
                <w:sz w:val="40"/>
              </w:rPr>
              <w:t>Non-Financial</w:t>
            </w:r>
            <w:r w:rsidR="008635B6" w:rsidRPr="00CA6068">
              <w:rPr>
                <w:rFonts w:ascii="Cambria" w:hAnsi="Cambria"/>
                <w:b/>
                <w:color w:val="FF0000"/>
                <w:sz w:val="40"/>
              </w:rPr>
              <w:t xml:space="preserve"> Section</w:t>
            </w:r>
          </w:p>
        </w:tc>
      </w:tr>
      <w:tr w:rsidR="008635B6" w:rsidRPr="005B0233" w14:paraId="7B706F9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ED62C29" w14:textId="77777777" w:rsidR="008635B6" w:rsidRPr="005B0233" w:rsidRDefault="00CA6068" w:rsidP="005B0233">
            <w:pPr>
              <w:spacing w:after="120"/>
              <w:jc w:val="center"/>
              <w:rPr>
                <w:rFonts w:ascii="Cambria" w:hAnsi="Cambria"/>
                <w:color w:val="FF0000"/>
                <w:sz w:val="96"/>
              </w:rPr>
            </w:pPr>
            <w:r>
              <w:rPr>
                <w:rFonts w:ascii="Cambria" w:hAnsi="Cambria"/>
                <w:noProof/>
                <w:color w:val="FF0000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6A952CEB" wp14:editId="77E91F44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194310</wp:posOffset>
                      </wp:positionV>
                      <wp:extent cx="571500" cy="457200"/>
                      <wp:effectExtent l="0" t="0" r="12700" b="50800"/>
                      <wp:wrapThrough wrapText="bothSides">
                        <wp:wrapPolygon edited="0">
                          <wp:start x="6720" y="1200"/>
                          <wp:lineTo x="1920" y="9600"/>
                          <wp:lineTo x="1920" y="15600"/>
                          <wp:lineTo x="7680" y="21600"/>
                          <wp:lineTo x="7680" y="22800"/>
                          <wp:lineTo x="14400" y="22800"/>
                          <wp:lineTo x="21120" y="21600"/>
                          <wp:lineTo x="21120" y="8400"/>
                          <wp:lineTo x="15360" y="1200"/>
                          <wp:lineTo x="6720" y="1200"/>
                        </wp:wrapPolygon>
                      </wp:wrapThrough>
                      <wp:docPr id="11" name="Plu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ED1C24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Plus 11" o:spid="_x0000_s1026" style="position:absolute;margin-left:90pt;margin-top:15.3pt;width:45pt;height:36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" path="m75752,174833l231983,174833,231983,60602,339517,60602,339517,174833,495748,174833,495748,282367,339517,282367,339517,396598,231983,396598,231983,282367,75752,282367,75752,174833xe" fillcolor="#ed1c24" strokecolor="#4579b8 [3044]">
                      <v:shadow on="t" opacity="22937f" mv:blur="40000f" origin=",.5" offset="0,23000emu"/>
                      <v:path arrowok="t" o:connecttype="custom" o:connectlocs="75752,174833;231983,174833;231983,60602;339517,60602;339517,174833;495748,174833;495748,282367;339517,282367;339517,396598;231983,396598;231983,282367;75752,282367;75752,174833" o:connectangles="0,0,0,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500" w:type="pct"/>
          </w:tcPr>
          <w:p w14:paraId="6968FAF5" w14:textId="77777777" w:rsidR="008635B6" w:rsidRPr="005B0233" w:rsidRDefault="00CA6068" w:rsidP="00CA606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96"/>
              </w:rPr>
            </w:pPr>
            <w:r>
              <w:rPr>
                <w:rFonts w:ascii="Cambria" w:hAnsi="Cambria"/>
                <w:noProof/>
                <w:color w:val="FF0000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4561631F" wp14:editId="442479FF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194310</wp:posOffset>
                      </wp:positionV>
                      <wp:extent cx="685800" cy="342900"/>
                      <wp:effectExtent l="0" t="0" r="0" b="0"/>
                      <wp:wrapThrough wrapText="bothSides">
                        <wp:wrapPolygon edited="0">
                          <wp:start x="1600" y="6400"/>
                          <wp:lineTo x="1600" y="19200"/>
                          <wp:lineTo x="20000" y="19200"/>
                          <wp:lineTo x="20000" y="6400"/>
                          <wp:lineTo x="1600" y="6400"/>
                        </wp:wrapPolygon>
                      </wp:wrapThrough>
                      <wp:docPr id="8" name="Minu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42900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ED1C24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Minus 8" o:spid="_x0000_s1026" style="position:absolute;margin-left:90pt;margin-top:15.3pt;width:54pt;height:27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" path="m90903,131125l594897,131125,594897,211775,90903,211775,90903,131125xe" fillcolor="#ed1c24" strokecolor="#4579b8 [3044]">
                      <v:shadow on="t" opacity="22937f" mv:blur="40000f" origin=",.5" offset="0,23000emu"/>
                      <v:path arrowok="t" o:connecttype="custom" o:connectlocs="90903,131125;594897,131125;594897,211775;90903,211775;90903,131125" o:connectangles="0,0,0,0,0"/>
                      <w10:wrap type="through"/>
                    </v:shape>
                  </w:pict>
                </mc:Fallback>
              </mc:AlternateContent>
            </w:r>
          </w:p>
        </w:tc>
      </w:tr>
      <w:tr w:rsidR="00566F47" w:rsidRPr="005B0233" w14:paraId="554D2C4A" w14:textId="77777777" w:rsidTr="00F876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BF5F1E1" w14:textId="344F35AE" w:rsidR="00566F47" w:rsidRPr="005B0233" w:rsidRDefault="00566F47" w:rsidP="005B0233">
            <w:pPr>
              <w:jc w:val="center"/>
              <w:rPr>
                <w:rFonts w:ascii="Cambria" w:hAnsi="Cambria"/>
                <w:color w:val="auto"/>
              </w:rPr>
            </w:pPr>
            <w:r w:rsidRPr="00623893">
              <w:rPr>
                <w:rFonts w:ascii="Cambria" w:hAnsi="Cambria"/>
                <w:color w:val="auto"/>
              </w:rPr>
              <w:t xml:space="preserve"> </w:t>
            </w:r>
            <w:r w:rsidRPr="00566F47">
              <w:rPr>
                <w:rFonts w:ascii="Cambria" w:hAnsi="Cambria"/>
                <w:b/>
                <w:i/>
                <w:color w:val="auto"/>
              </w:rPr>
              <w:t>Note:</w:t>
            </w:r>
            <w:r>
              <w:rPr>
                <w:rFonts w:ascii="Cambria" w:hAnsi="Cambria"/>
                <w:color w:val="auto"/>
              </w:rPr>
              <w:t xml:space="preserve"> Unfortunately, JPM did not submit a full proposal. Thus, we will not be able to access JPM’s non</w:t>
            </w:r>
            <w:r w:rsidR="00026D37">
              <w:rPr>
                <w:rFonts w:ascii="Cambria" w:hAnsi="Cambria"/>
                <w:color w:val="auto"/>
              </w:rPr>
              <w:t>-</w:t>
            </w:r>
            <w:r>
              <w:rPr>
                <w:rFonts w:ascii="Cambria" w:hAnsi="Cambria"/>
                <w:color w:val="auto"/>
              </w:rPr>
              <w:t>financial services</w:t>
            </w:r>
            <w:r w:rsidR="00350BA3">
              <w:rPr>
                <w:rFonts w:ascii="Cambria" w:hAnsi="Cambria"/>
                <w:color w:val="auto"/>
              </w:rPr>
              <w:t>.</w:t>
            </w:r>
            <w:r>
              <w:rPr>
                <w:rFonts w:ascii="Cambria" w:hAnsi="Cambria"/>
                <w:color w:val="auto"/>
              </w:rPr>
              <w:t xml:space="preserve"> </w:t>
            </w:r>
          </w:p>
        </w:tc>
      </w:tr>
      <w:tr w:rsidR="00CA6068" w14:paraId="47BC44CF" w14:textId="77777777" w:rsidTr="00F8769F">
        <w:trPr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CA8EDED" w14:textId="77777777" w:rsidR="00CA6068" w:rsidRPr="00CA6068" w:rsidRDefault="00CA6068" w:rsidP="00CA6068">
            <w:pPr>
              <w:jc w:val="center"/>
              <w:rPr>
                <w:rFonts w:ascii="Cambria" w:hAnsi="Cambria"/>
                <w:b/>
                <w:color w:val="FF0000"/>
                <w:sz w:val="36"/>
                <w:szCs w:val="36"/>
              </w:rPr>
            </w:pPr>
            <w:r w:rsidRPr="00CA6068">
              <w:rPr>
                <w:rFonts w:ascii="Cambria" w:hAnsi="Cambria"/>
                <w:b/>
                <w:color w:val="FF0000"/>
                <w:sz w:val="36"/>
                <w:szCs w:val="36"/>
              </w:rPr>
              <w:t>Financial Solution</w:t>
            </w:r>
          </w:p>
        </w:tc>
      </w:tr>
      <w:tr w:rsidR="008635B6" w14:paraId="232976A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CA89D61" w14:textId="77777777" w:rsidR="008635B6" w:rsidRPr="008635B6" w:rsidRDefault="00CA6068" w:rsidP="00CA6068">
            <w:pPr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noProof/>
                <w:color w:val="FF0000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46690E64" wp14:editId="72715506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14605</wp:posOffset>
                      </wp:positionV>
                      <wp:extent cx="571500" cy="433070"/>
                      <wp:effectExtent l="0" t="0" r="12700" b="49530"/>
                      <wp:wrapThrough wrapText="bothSides">
                        <wp:wrapPolygon edited="0">
                          <wp:start x="6720" y="1267"/>
                          <wp:lineTo x="1920" y="10135"/>
                          <wp:lineTo x="1920" y="17736"/>
                          <wp:lineTo x="6720" y="22804"/>
                          <wp:lineTo x="15360" y="22804"/>
                          <wp:lineTo x="21120" y="19003"/>
                          <wp:lineTo x="21120" y="8868"/>
                          <wp:lineTo x="15360" y="1267"/>
                          <wp:lineTo x="6720" y="1267"/>
                        </wp:wrapPolygon>
                      </wp:wrapThrough>
                      <wp:docPr id="4" name="Plu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33070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ED1C24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Plus 4" o:spid="_x0000_s1026" style="position:absolute;margin-left:99pt;margin-top:1.15pt;width:45pt;height:34.1pt;z-index:25205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71500,4330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" path="m75752,165606l234821,165606,234821,57403,336679,57403,336679,165606,495748,165606,495748,267464,336679,267464,336679,375667,234821,375667,234821,267464,75752,267464,75752,165606xe" fillcolor="#ed1c24" strokecolor="#4579b8 [3044]">
                      <v:shadow on="t" opacity="22937f" mv:blur="40000f" origin=",.5" offset="0,23000emu"/>
                      <v:path arrowok="t" o:connecttype="custom" o:connectlocs="75752,165606;234821,165606;234821,57403;336679,57403;336679,165606;495748,165606;495748,267464;336679,267464;336679,375667;234821,375667;234821,267464;75752,267464;75752,165606" o:connectangles="0,0,0,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500" w:type="pct"/>
          </w:tcPr>
          <w:p w14:paraId="0BAA6676" w14:textId="77777777" w:rsidR="008635B6" w:rsidRDefault="00CA6068" w:rsidP="00CA60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FF0000"/>
                <w:sz w:val="40"/>
              </w:rPr>
            </w:pPr>
            <w:r>
              <w:rPr>
                <w:rFonts w:ascii="Cambria" w:hAnsi="Cambria"/>
                <w:noProof/>
                <w:color w:val="FF0000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621624A6" wp14:editId="6D4E7748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14605</wp:posOffset>
                      </wp:positionV>
                      <wp:extent cx="571500" cy="228600"/>
                      <wp:effectExtent l="0" t="0" r="12700" b="25400"/>
                      <wp:wrapThrough wrapText="bothSides">
                        <wp:wrapPolygon edited="0">
                          <wp:start x="960" y="4800"/>
                          <wp:lineTo x="960" y="21600"/>
                          <wp:lineTo x="21120" y="21600"/>
                          <wp:lineTo x="21120" y="4800"/>
                          <wp:lineTo x="960" y="4800"/>
                        </wp:wrapPolygon>
                      </wp:wrapThrough>
                      <wp:docPr id="5" name="Min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28600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ED1C24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Minus 5" o:spid="_x0000_s1026" style="position:absolute;margin-left:108pt;margin-top:1.15pt;width:45pt;height:18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" path="m75752,87417l495748,87417,495748,141183,75752,141183,75752,87417xe" fillcolor="#ed1c24" strokecolor="#4579b8 [3044]">
                      <v:shadow on="t" opacity="22937f" mv:blur="40000f" origin=",.5" offset="0,23000emu"/>
                      <v:path arrowok="t" o:connecttype="custom" o:connectlocs="75752,87417;495748,87417;495748,141183;75752,141183;75752,87417" o:connectangles="0,0,0,0,0"/>
                      <w10:wrap type="through"/>
                    </v:shape>
                  </w:pict>
                </mc:Fallback>
              </mc:AlternateContent>
            </w:r>
          </w:p>
        </w:tc>
      </w:tr>
      <w:tr w:rsidR="00566F47" w14:paraId="5A6AE06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ED00952" w14:textId="5DCB1240" w:rsidR="00566F47" w:rsidRPr="00566F47" w:rsidRDefault="00A4693D" w:rsidP="00A4693D">
            <w:pPr>
              <w:pStyle w:val="ListParagraph"/>
              <w:numPr>
                <w:ilvl w:val="0"/>
                <w:numId w:val="47"/>
              </w:numPr>
              <w:ind w:left="284" w:hanging="142"/>
              <w:rPr>
                <w:rFonts w:ascii="Cambria" w:hAnsi="Cambria"/>
                <w:noProof/>
                <w:color w:val="auto"/>
                <w:szCs w:val="24"/>
              </w:rPr>
            </w:pPr>
            <w:r>
              <w:rPr>
                <w:rFonts w:ascii="Cambria" w:hAnsi="Cambria"/>
                <w:noProof/>
                <w:color w:val="auto"/>
                <w:szCs w:val="24"/>
              </w:rPr>
              <w:t xml:space="preserve">  </w:t>
            </w:r>
            <w:r w:rsidR="00566F47" w:rsidRPr="00566F47">
              <w:rPr>
                <w:rFonts w:ascii="Cambria" w:hAnsi="Cambria"/>
                <w:noProof/>
                <w:color w:val="auto"/>
                <w:szCs w:val="24"/>
              </w:rPr>
              <w:t>JPM offers revenue sharing based on 90%  from its net revenue per year</w:t>
            </w:r>
            <w:r w:rsidR="008614D4">
              <w:rPr>
                <w:rFonts w:ascii="Cambria" w:hAnsi="Cambria"/>
                <w:noProof/>
                <w:color w:val="auto"/>
                <w:szCs w:val="24"/>
              </w:rPr>
              <w:t>.</w:t>
            </w:r>
            <w:r w:rsidR="00566F47" w:rsidRPr="00566F47">
              <w:rPr>
                <w:rFonts w:ascii="Cambria" w:hAnsi="Cambria"/>
                <w:noProof/>
                <w:color w:val="auto"/>
                <w:szCs w:val="24"/>
              </w:rPr>
              <w:t xml:space="preserve"> </w:t>
            </w:r>
          </w:p>
          <w:p w14:paraId="40FE60CB" w14:textId="59036683" w:rsidR="00566F47" w:rsidRPr="00566F47" w:rsidRDefault="00566F47" w:rsidP="00A4693D">
            <w:pPr>
              <w:pStyle w:val="ListParagraph"/>
              <w:numPr>
                <w:ilvl w:val="0"/>
                <w:numId w:val="47"/>
              </w:numPr>
              <w:ind w:left="426" w:hanging="284"/>
              <w:rPr>
                <w:rFonts w:ascii="Cambria" w:hAnsi="Cambria"/>
                <w:noProof/>
                <w:color w:val="auto"/>
                <w:szCs w:val="24"/>
              </w:rPr>
            </w:pPr>
            <w:r>
              <w:rPr>
                <w:rFonts w:ascii="Cambria" w:hAnsi="Cambria"/>
                <w:noProof/>
                <w:color w:val="auto"/>
                <w:szCs w:val="24"/>
              </w:rPr>
              <w:t>JPM offers upfront reimbursement up to $2,000,0000 within 5 days from signing a new agreement</w:t>
            </w:r>
            <w:r w:rsidR="008614D4">
              <w:rPr>
                <w:rFonts w:ascii="Cambria" w:hAnsi="Cambria"/>
                <w:noProof/>
                <w:color w:val="auto"/>
                <w:szCs w:val="24"/>
              </w:rPr>
              <w:t>.</w:t>
            </w:r>
            <w:r>
              <w:rPr>
                <w:rFonts w:ascii="Cambria" w:hAnsi="Cambria"/>
                <w:noProof/>
                <w:color w:val="auto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1A33C971" w14:textId="45A12F66" w:rsidR="00566F47" w:rsidRPr="00A4693D" w:rsidRDefault="00F007F8" w:rsidP="00A4693D">
            <w:pPr>
              <w:pStyle w:val="ListParagraph"/>
              <w:numPr>
                <w:ilvl w:val="0"/>
                <w:numId w:val="47"/>
              </w:numPr>
              <w:ind w:left="42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noProof/>
                <w:color w:val="auto"/>
                <w:szCs w:val="24"/>
              </w:rPr>
            </w:pPr>
            <w:r w:rsidRPr="00A4693D">
              <w:rPr>
                <w:rFonts w:ascii="Cambria" w:hAnsi="Cambria"/>
                <w:noProof/>
                <w:color w:val="auto"/>
                <w:szCs w:val="24"/>
              </w:rPr>
              <w:t>The revenue</w:t>
            </w:r>
            <w:r w:rsidR="008614D4">
              <w:rPr>
                <w:rFonts w:ascii="Cambria" w:hAnsi="Cambria"/>
                <w:noProof/>
                <w:color w:val="auto"/>
                <w:szCs w:val="24"/>
              </w:rPr>
              <w:t>-</w:t>
            </w:r>
            <w:r w:rsidRPr="00A4693D">
              <w:rPr>
                <w:rFonts w:ascii="Cambria" w:hAnsi="Cambria"/>
                <w:noProof/>
                <w:color w:val="auto"/>
                <w:szCs w:val="24"/>
              </w:rPr>
              <w:t xml:space="preserve">sharing model is proposed based on a </w:t>
            </w:r>
            <w:r w:rsidR="008614D4">
              <w:rPr>
                <w:rFonts w:ascii="Cambria" w:hAnsi="Cambria"/>
                <w:noProof/>
                <w:color w:val="auto"/>
                <w:szCs w:val="24"/>
              </w:rPr>
              <w:t>n</w:t>
            </w:r>
            <w:r w:rsidRPr="00A4693D">
              <w:rPr>
                <w:rFonts w:ascii="Cambria" w:hAnsi="Cambria"/>
                <w:noProof/>
                <w:color w:val="auto"/>
                <w:szCs w:val="24"/>
              </w:rPr>
              <w:t>et basi</w:t>
            </w:r>
            <w:r w:rsidR="008614D4">
              <w:rPr>
                <w:rFonts w:ascii="Cambria" w:hAnsi="Cambria"/>
                <w:noProof/>
                <w:color w:val="auto"/>
                <w:szCs w:val="24"/>
              </w:rPr>
              <w:t xml:space="preserve">s </w:t>
            </w:r>
            <w:r w:rsidRPr="00A4693D">
              <w:rPr>
                <w:rFonts w:ascii="Cambria" w:hAnsi="Cambria"/>
                <w:noProof/>
                <w:color w:val="auto"/>
                <w:szCs w:val="24"/>
              </w:rPr>
              <w:t>(</w:t>
            </w:r>
            <w:r w:rsidR="00566F47" w:rsidRPr="00A4693D">
              <w:rPr>
                <w:rFonts w:ascii="Cambria" w:hAnsi="Cambria"/>
                <w:noProof/>
                <w:color w:val="auto"/>
                <w:szCs w:val="24"/>
              </w:rPr>
              <w:t xml:space="preserve">not </w:t>
            </w:r>
            <w:r w:rsidR="008614D4">
              <w:rPr>
                <w:rFonts w:ascii="Cambria" w:hAnsi="Cambria"/>
                <w:noProof/>
                <w:color w:val="auto"/>
                <w:szCs w:val="24"/>
              </w:rPr>
              <w:t>g</w:t>
            </w:r>
            <w:r w:rsidR="00566F47" w:rsidRPr="00A4693D">
              <w:rPr>
                <w:rFonts w:ascii="Cambria" w:hAnsi="Cambria"/>
                <w:noProof/>
                <w:color w:val="auto"/>
                <w:szCs w:val="24"/>
              </w:rPr>
              <w:t>ross</w:t>
            </w:r>
            <w:r w:rsidRPr="00A4693D">
              <w:rPr>
                <w:rFonts w:ascii="Cambria" w:hAnsi="Cambria"/>
                <w:noProof/>
                <w:color w:val="auto"/>
                <w:szCs w:val="24"/>
              </w:rPr>
              <w:t>)</w:t>
            </w:r>
            <w:r w:rsidR="00566F47" w:rsidRPr="00A4693D">
              <w:rPr>
                <w:rFonts w:ascii="Cambria" w:hAnsi="Cambria"/>
                <w:noProof/>
                <w:color w:val="auto"/>
                <w:szCs w:val="24"/>
              </w:rPr>
              <w:t xml:space="preserve">. </w:t>
            </w:r>
            <w:r w:rsidR="008614D4">
              <w:rPr>
                <w:rFonts w:ascii="Cambria" w:hAnsi="Cambria"/>
                <w:noProof/>
                <w:color w:val="auto"/>
                <w:szCs w:val="24"/>
              </w:rPr>
              <w:t xml:space="preserve">  </w:t>
            </w:r>
            <w:r w:rsidR="00566F47" w:rsidRPr="00A4693D">
              <w:rPr>
                <w:rFonts w:ascii="Cambria" w:hAnsi="Cambria"/>
                <w:noProof/>
                <w:color w:val="auto"/>
                <w:szCs w:val="24"/>
              </w:rPr>
              <w:t xml:space="preserve">JPM did not clarify </w:t>
            </w:r>
            <w:r w:rsidRPr="00A4693D">
              <w:rPr>
                <w:rFonts w:ascii="Cambria" w:hAnsi="Cambria"/>
                <w:noProof/>
                <w:color w:val="auto"/>
                <w:szCs w:val="24"/>
              </w:rPr>
              <w:t xml:space="preserve">a list of expenses they would add </w:t>
            </w:r>
            <w:r w:rsidR="008614D4">
              <w:rPr>
                <w:rFonts w:ascii="Cambria" w:hAnsi="Cambria"/>
                <w:noProof/>
                <w:color w:val="auto"/>
                <w:szCs w:val="24"/>
              </w:rPr>
              <w:t>to</w:t>
            </w:r>
            <w:r w:rsidRPr="00A4693D">
              <w:rPr>
                <w:rFonts w:ascii="Cambria" w:hAnsi="Cambria"/>
                <w:noProof/>
                <w:color w:val="auto"/>
                <w:szCs w:val="24"/>
              </w:rPr>
              <w:t xml:space="preserve"> calculat</w:t>
            </w:r>
            <w:r w:rsidR="008614D4">
              <w:rPr>
                <w:rFonts w:ascii="Cambria" w:hAnsi="Cambria"/>
                <w:noProof/>
                <w:color w:val="auto"/>
                <w:szCs w:val="24"/>
              </w:rPr>
              <w:t>e</w:t>
            </w:r>
            <w:r w:rsidRPr="00A4693D">
              <w:rPr>
                <w:rFonts w:ascii="Cambria" w:hAnsi="Cambria"/>
                <w:noProof/>
                <w:color w:val="auto"/>
                <w:szCs w:val="24"/>
              </w:rPr>
              <w:t xml:space="preserve"> avaialble reimbursement to the </w:t>
            </w:r>
            <w:r w:rsidR="006F0695">
              <w:rPr>
                <w:rFonts w:ascii="Cambria" w:hAnsi="Cambria"/>
                <w:noProof/>
                <w:color w:val="auto"/>
                <w:szCs w:val="24"/>
              </w:rPr>
              <w:t>Issuer</w:t>
            </w:r>
            <w:r w:rsidR="008614D4">
              <w:rPr>
                <w:rFonts w:ascii="Cambria" w:hAnsi="Cambria"/>
                <w:noProof/>
                <w:color w:val="auto"/>
                <w:szCs w:val="24"/>
              </w:rPr>
              <w:t>.</w:t>
            </w:r>
            <w:r w:rsidRPr="00A4693D">
              <w:rPr>
                <w:rFonts w:ascii="Cambria" w:hAnsi="Cambria"/>
                <w:noProof/>
                <w:color w:val="auto"/>
                <w:szCs w:val="24"/>
              </w:rPr>
              <w:t xml:space="preserve">  </w:t>
            </w:r>
          </w:p>
          <w:p w14:paraId="79D423B5" w14:textId="133B9BFD" w:rsidR="00F007F8" w:rsidRPr="00F007F8" w:rsidRDefault="00F007F8" w:rsidP="00C518AF">
            <w:pPr>
              <w:pStyle w:val="ListParagraph"/>
              <w:numPr>
                <w:ilvl w:val="0"/>
                <w:numId w:val="47"/>
              </w:numPr>
              <w:ind w:left="42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iCs/>
                <w:noProof/>
                <w:color w:val="auto"/>
                <w:spacing w:val="15"/>
                <w:szCs w:val="24"/>
              </w:rPr>
            </w:pPr>
            <w:r>
              <w:rPr>
                <w:rFonts w:ascii="Cambria" w:hAnsi="Cambria"/>
                <w:noProof/>
                <w:color w:val="auto"/>
                <w:szCs w:val="24"/>
              </w:rPr>
              <w:t xml:space="preserve">JPM offers the lowest upfront reimbursement. </w:t>
            </w:r>
            <w:r w:rsidR="008614D4">
              <w:rPr>
                <w:rFonts w:ascii="Cambria" w:hAnsi="Cambria"/>
                <w:noProof/>
                <w:color w:val="auto"/>
                <w:szCs w:val="24"/>
              </w:rPr>
              <w:t xml:space="preserve"> </w:t>
            </w:r>
            <w:r>
              <w:rPr>
                <w:rFonts w:ascii="Cambria" w:hAnsi="Cambria"/>
                <w:noProof/>
                <w:color w:val="auto"/>
                <w:szCs w:val="24"/>
              </w:rPr>
              <w:t xml:space="preserve">Due to </w:t>
            </w:r>
            <w:r w:rsidR="008614D4">
              <w:rPr>
                <w:rFonts w:ascii="Cambria" w:hAnsi="Cambria"/>
                <w:noProof/>
                <w:color w:val="auto"/>
                <w:szCs w:val="24"/>
              </w:rPr>
              <w:t xml:space="preserve">the </w:t>
            </w:r>
            <w:r>
              <w:rPr>
                <w:rFonts w:ascii="Cambria" w:hAnsi="Cambria"/>
                <w:noProof/>
                <w:color w:val="auto"/>
                <w:szCs w:val="24"/>
              </w:rPr>
              <w:t>size of N</w:t>
            </w:r>
            <w:r w:rsidR="00FD7B2E">
              <w:rPr>
                <w:rFonts w:ascii="Cambria" w:hAnsi="Cambria"/>
                <w:noProof/>
                <w:color w:val="auto"/>
                <w:szCs w:val="24"/>
              </w:rPr>
              <w:t xml:space="preserve">orilsk </w:t>
            </w:r>
            <w:r>
              <w:rPr>
                <w:rFonts w:ascii="Cambria" w:hAnsi="Cambria"/>
                <w:noProof/>
                <w:color w:val="auto"/>
                <w:szCs w:val="24"/>
              </w:rPr>
              <w:t>N</w:t>
            </w:r>
            <w:r w:rsidR="00FD7B2E">
              <w:rPr>
                <w:rFonts w:ascii="Cambria" w:hAnsi="Cambria"/>
                <w:noProof/>
                <w:color w:val="auto"/>
                <w:szCs w:val="24"/>
              </w:rPr>
              <w:t>ickel</w:t>
            </w:r>
            <w:r>
              <w:rPr>
                <w:rFonts w:ascii="Cambria" w:hAnsi="Cambria"/>
                <w:noProof/>
                <w:color w:val="auto"/>
                <w:szCs w:val="24"/>
              </w:rPr>
              <w:t xml:space="preserve">’s DR program, we strongly believe </w:t>
            </w:r>
            <w:r w:rsidR="008614D4">
              <w:rPr>
                <w:rFonts w:ascii="Cambria" w:hAnsi="Cambria"/>
                <w:noProof/>
                <w:color w:val="auto"/>
                <w:szCs w:val="24"/>
              </w:rPr>
              <w:t>JPM’s offer of</w:t>
            </w:r>
            <w:r>
              <w:rPr>
                <w:rFonts w:ascii="Cambria" w:hAnsi="Cambria"/>
                <w:noProof/>
                <w:color w:val="auto"/>
                <w:szCs w:val="24"/>
              </w:rPr>
              <w:t xml:space="preserve"> $2,000,000 is a low threshold for upfront reimbursement</w:t>
            </w:r>
            <w:r w:rsidR="008614D4">
              <w:rPr>
                <w:rFonts w:ascii="Cambria" w:hAnsi="Cambria"/>
                <w:noProof/>
                <w:color w:val="auto"/>
                <w:szCs w:val="24"/>
              </w:rPr>
              <w:t>.</w:t>
            </w:r>
            <w:r>
              <w:rPr>
                <w:rFonts w:ascii="Cambria" w:hAnsi="Cambria"/>
                <w:noProof/>
                <w:color w:val="auto"/>
                <w:szCs w:val="24"/>
              </w:rPr>
              <w:t xml:space="preserve"> </w:t>
            </w:r>
          </w:p>
        </w:tc>
      </w:tr>
      <w:tr w:rsidR="00BD02FA" w14:paraId="1D65329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3E25CB8" w14:textId="77777777" w:rsidR="00BD02FA" w:rsidRPr="00A4693D" w:rsidRDefault="00CD249E" w:rsidP="00A4693D">
            <w:pPr>
              <w:jc w:val="both"/>
              <w:rPr>
                <w:rFonts w:ascii="Cambria" w:hAnsi="Cambria"/>
                <w:b/>
                <w:noProof/>
                <w:color w:val="auto"/>
                <w:szCs w:val="24"/>
                <w:u w:val="single"/>
              </w:rPr>
            </w:pPr>
            <w:r w:rsidRPr="00A4693D">
              <w:rPr>
                <w:rFonts w:ascii="Cambria" w:hAnsi="Cambria"/>
                <w:b/>
                <w:noProof/>
                <w:color w:val="auto"/>
                <w:szCs w:val="24"/>
                <w:u w:val="single"/>
              </w:rPr>
              <w:t xml:space="preserve">Discount to Strategic Shareholders </w:t>
            </w:r>
          </w:p>
          <w:p w14:paraId="7E0BED82" w14:textId="77777777" w:rsidR="00CD249E" w:rsidRDefault="00CD249E" w:rsidP="00BD02FA">
            <w:pPr>
              <w:pStyle w:val="ListParagraph"/>
              <w:rPr>
                <w:rFonts w:ascii="Cambria" w:hAnsi="Cambria"/>
                <w:noProof/>
                <w:color w:val="auto"/>
                <w:szCs w:val="24"/>
              </w:rPr>
            </w:pPr>
          </w:p>
          <w:p w14:paraId="6491CF20" w14:textId="23EB460F" w:rsidR="00CD249E" w:rsidRPr="00566F47" w:rsidRDefault="00A4693D" w:rsidP="00A4693D">
            <w:pPr>
              <w:pStyle w:val="ListParagraph"/>
              <w:numPr>
                <w:ilvl w:val="0"/>
                <w:numId w:val="46"/>
              </w:numPr>
              <w:ind w:left="284" w:hanging="284"/>
              <w:rPr>
                <w:rFonts w:ascii="Cambria" w:hAnsi="Cambria"/>
                <w:noProof/>
                <w:color w:val="auto"/>
                <w:szCs w:val="24"/>
              </w:rPr>
            </w:pPr>
            <w:r>
              <w:rPr>
                <w:rFonts w:ascii="Cambria" w:hAnsi="Cambria"/>
                <w:noProof/>
                <w:color w:val="auto"/>
                <w:szCs w:val="24"/>
              </w:rPr>
              <w:t xml:space="preserve">JPM has a flexible program with respect to </w:t>
            </w:r>
            <w:r>
              <w:rPr>
                <w:rFonts w:ascii="Cambria" w:hAnsi="Cambria"/>
                <w:noProof/>
                <w:color w:val="auto"/>
                <w:szCs w:val="24"/>
              </w:rPr>
              <w:lastRenderedPageBreak/>
              <w:t>discounting DRs fees on DR positiuons hely by strategic investors</w:t>
            </w:r>
            <w:r w:rsidR="001A0718">
              <w:rPr>
                <w:rFonts w:ascii="Cambria" w:hAnsi="Cambria"/>
                <w:noProof/>
                <w:color w:val="auto"/>
                <w:szCs w:val="24"/>
              </w:rPr>
              <w:t>.</w:t>
            </w:r>
            <w:r>
              <w:rPr>
                <w:rFonts w:ascii="Cambria" w:hAnsi="Cambria"/>
                <w:noProof/>
                <w:color w:val="auto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35326EB9" w14:textId="77777777" w:rsidR="00BD02FA" w:rsidRDefault="00A4693D" w:rsidP="00A4693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noProof/>
                <w:color w:val="auto"/>
                <w:szCs w:val="24"/>
                <w:u w:val="single"/>
              </w:rPr>
            </w:pPr>
            <w:r w:rsidRPr="00A4693D">
              <w:rPr>
                <w:rFonts w:ascii="Cambria" w:hAnsi="Cambria"/>
                <w:b/>
                <w:noProof/>
                <w:color w:val="auto"/>
                <w:szCs w:val="24"/>
                <w:u w:val="single"/>
              </w:rPr>
              <w:lastRenderedPageBreak/>
              <w:t xml:space="preserve">Discount to Strategic Shareholders </w:t>
            </w:r>
            <w:r>
              <w:rPr>
                <w:rFonts w:ascii="Cambria" w:hAnsi="Cambria"/>
                <w:b/>
                <w:noProof/>
                <w:color w:val="auto"/>
                <w:szCs w:val="24"/>
                <w:u w:val="single"/>
              </w:rPr>
              <w:t xml:space="preserve"> </w:t>
            </w:r>
          </w:p>
          <w:p w14:paraId="4D2F3845" w14:textId="70DBF347" w:rsidR="00A4693D" w:rsidRPr="00A4693D" w:rsidRDefault="00A4693D" w:rsidP="00A4693D">
            <w:pPr>
              <w:pStyle w:val="ListParagraph"/>
              <w:numPr>
                <w:ilvl w:val="0"/>
                <w:numId w:val="46"/>
              </w:numPr>
              <w:ind w:left="450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noProof/>
                <w:color w:val="auto"/>
                <w:szCs w:val="24"/>
              </w:rPr>
            </w:pPr>
            <w:r w:rsidRPr="00A4693D">
              <w:rPr>
                <w:rFonts w:ascii="Cambria" w:hAnsi="Cambria"/>
                <w:noProof/>
                <w:color w:val="auto"/>
                <w:szCs w:val="24"/>
              </w:rPr>
              <w:t>JPM did not speciy in its proposal details on discount paramenters</w:t>
            </w:r>
            <w:r w:rsidR="001A0718">
              <w:rPr>
                <w:rFonts w:ascii="Cambria" w:hAnsi="Cambria"/>
                <w:noProof/>
                <w:color w:val="auto"/>
                <w:szCs w:val="24"/>
              </w:rPr>
              <w:t>.</w:t>
            </w:r>
            <w:r w:rsidRPr="00A4693D">
              <w:rPr>
                <w:rFonts w:ascii="Cambria" w:hAnsi="Cambria"/>
                <w:noProof/>
                <w:color w:val="auto"/>
                <w:szCs w:val="24"/>
              </w:rPr>
              <w:t xml:space="preserve"> </w:t>
            </w:r>
          </w:p>
          <w:p w14:paraId="48C3DF95" w14:textId="000F4375" w:rsidR="00A4693D" w:rsidRPr="00A4693D" w:rsidRDefault="00A4693D" w:rsidP="00C518AF">
            <w:pPr>
              <w:pStyle w:val="ListParagraph"/>
              <w:numPr>
                <w:ilvl w:val="0"/>
                <w:numId w:val="46"/>
              </w:numPr>
              <w:ind w:left="450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iCs/>
                <w:noProof/>
                <w:color w:val="auto"/>
                <w:spacing w:val="15"/>
                <w:szCs w:val="24"/>
              </w:rPr>
            </w:pPr>
            <w:r w:rsidRPr="00A4693D">
              <w:rPr>
                <w:rFonts w:ascii="Cambria" w:hAnsi="Cambria"/>
                <w:noProof/>
                <w:color w:val="auto"/>
                <w:szCs w:val="24"/>
              </w:rPr>
              <w:lastRenderedPageBreak/>
              <w:t xml:space="preserve">Based on JPM’s internal compliance, any discounts made to DR holders that hold more than 5% in </w:t>
            </w:r>
            <w:r w:rsidR="00F01757">
              <w:rPr>
                <w:rFonts w:ascii="Cambria" w:hAnsi="Cambria"/>
                <w:noProof/>
                <w:color w:val="auto"/>
                <w:szCs w:val="24"/>
              </w:rPr>
              <w:t xml:space="preserve">Norilsk Nickel </w:t>
            </w:r>
            <w:r w:rsidRPr="00A4693D">
              <w:rPr>
                <w:rFonts w:ascii="Cambria" w:hAnsi="Cambria"/>
                <w:noProof/>
                <w:color w:val="auto"/>
                <w:szCs w:val="24"/>
              </w:rPr>
              <w:t xml:space="preserve">must be publicly disclosed. This may raise </w:t>
            </w:r>
            <w:r w:rsidR="001A0718">
              <w:rPr>
                <w:rFonts w:ascii="Cambria" w:hAnsi="Cambria"/>
                <w:noProof/>
                <w:color w:val="auto"/>
                <w:szCs w:val="24"/>
              </w:rPr>
              <w:t>serious</w:t>
            </w:r>
            <w:r w:rsidR="001A0718" w:rsidRPr="00A4693D">
              <w:rPr>
                <w:rFonts w:ascii="Cambria" w:hAnsi="Cambria"/>
                <w:noProof/>
                <w:color w:val="auto"/>
                <w:szCs w:val="24"/>
              </w:rPr>
              <w:t xml:space="preserve"> </w:t>
            </w:r>
            <w:r w:rsidRPr="00A4693D">
              <w:rPr>
                <w:rFonts w:ascii="Cambria" w:hAnsi="Cambria"/>
                <w:noProof/>
                <w:color w:val="auto"/>
                <w:szCs w:val="24"/>
              </w:rPr>
              <w:t>concern from minority holders</w:t>
            </w:r>
            <w:r w:rsidR="001A0718">
              <w:rPr>
                <w:rFonts w:ascii="Cambria" w:hAnsi="Cambria"/>
                <w:noProof/>
                <w:color w:val="auto"/>
                <w:szCs w:val="24"/>
              </w:rPr>
              <w:t>,</w:t>
            </w:r>
            <w:r w:rsidRPr="00A4693D">
              <w:rPr>
                <w:rFonts w:ascii="Cambria" w:hAnsi="Cambria"/>
                <w:noProof/>
                <w:color w:val="auto"/>
                <w:szCs w:val="24"/>
              </w:rPr>
              <w:t xml:space="preserve"> </w:t>
            </w:r>
            <w:r w:rsidR="001A0718">
              <w:rPr>
                <w:rFonts w:ascii="Cambria" w:hAnsi="Cambria"/>
                <w:noProof/>
                <w:color w:val="auto"/>
                <w:szCs w:val="24"/>
              </w:rPr>
              <w:t>since</w:t>
            </w:r>
            <w:r w:rsidR="001A0718" w:rsidRPr="00A4693D">
              <w:rPr>
                <w:rFonts w:ascii="Cambria" w:hAnsi="Cambria"/>
                <w:noProof/>
                <w:color w:val="auto"/>
                <w:szCs w:val="24"/>
              </w:rPr>
              <w:t xml:space="preserve"> </w:t>
            </w:r>
            <w:r w:rsidRPr="00A4693D">
              <w:rPr>
                <w:rFonts w:ascii="Cambria" w:hAnsi="Cambria"/>
                <w:noProof/>
                <w:color w:val="auto"/>
                <w:szCs w:val="24"/>
              </w:rPr>
              <w:t>it can be cla</w:t>
            </w:r>
            <w:r w:rsidR="001A0718">
              <w:rPr>
                <w:rFonts w:ascii="Cambria" w:hAnsi="Cambria"/>
                <w:noProof/>
                <w:color w:val="auto"/>
                <w:szCs w:val="24"/>
              </w:rPr>
              <w:t>s</w:t>
            </w:r>
            <w:r w:rsidRPr="00A4693D">
              <w:rPr>
                <w:rFonts w:ascii="Cambria" w:hAnsi="Cambria"/>
                <w:noProof/>
                <w:color w:val="auto"/>
                <w:szCs w:val="24"/>
              </w:rPr>
              <w:t>sified as prefer</w:t>
            </w:r>
            <w:r w:rsidR="001A0718">
              <w:rPr>
                <w:rFonts w:ascii="Cambria" w:hAnsi="Cambria"/>
                <w:noProof/>
                <w:color w:val="auto"/>
                <w:szCs w:val="24"/>
              </w:rPr>
              <w:t>en</w:t>
            </w:r>
            <w:r w:rsidRPr="00A4693D">
              <w:rPr>
                <w:rFonts w:ascii="Cambria" w:hAnsi="Cambria"/>
                <w:noProof/>
                <w:color w:val="auto"/>
                <w:szCs w:val="24"/>
              </w:rPr>
              <w:t>tial treatm</w:t>
            </w:r>
            <w:r w:rsidR="001A0718">
              <w:rPr>
                <w:rFonts w:ascii="Cambria" w:hAnsi="Cambria"/>
                <w:noProof/>
                <w:color w:val="auto"/>
                <w:szCs w:val="24"/>
              </w:rPr>
              <w:t>e</w:t>
            </w:r>
            <w:r w:rsidRPr="00A4693D">
              <w:rPr>
                <w:rFonts w:ascii="Cambria" w:hAnsi="Cambria"/>
                <w:noProof/>
                <w:color w:val="auto"/>
                <w:szCs w:val="24"/>
              </w:rPr>
              <w:t>nt</w:t>
            </w:r>
            <w:r>
              <w:rPr>
                <w:rFonts w:ascii="Cambria" w:hAnsi="Cambria"/>
                <w:noProof/>
                <w:color w:val="auto"/>
                <w:szCs w:val="24"/>
              </w:rPr>
              <w:t xml:space="preserve"> of strategic investors. </w:t>
            </w:r>
            <w:r w:rsidRPr="00A4693D">
              <w:rPr>
                <w:rFonts w:ascii="Cambria" w:hAnsi="Cambria"/>
                <w:noProof/>
                <w:color w:val="auto"/>
                <w:szCs w:val="24"/>
              </w:rPr>
              <w:t xml:space="preserve">  </w:t>
            </w:r>
          </w:p>
        </w:tc>
      </w:tr>
    </w:tbl>
    <w:p w14:paraId="4315852E" w14:textId="77777777" w:rsidR="00A56E8C" w:rsidRDefault="00A56E8C" w:rsidP="00B92993">
      <w:pPr>
        <w:rPr>
          <w:rFonts w:ascii="Cambria" w:hAnsi="Cambria"/>
          <w:color w:val="FF0000"/>
          <w:sz w:val="40"/>
        </w:rPr>
      </w:pPr>
    </w:p>
    <w:p w14:paraId="547B3B2D" w14:textId="4B3B265C" w:rsidR="005A44E8" w:rsidRPr="00A56E8C" w:rsidRDefault="00E21A0F" w:rsidP="00B92993">
      <w:pPr>
        <w:rPr>
          <w:rFonts w:ascii="Cambria" w:hAnsi="Cambria"/>
          <w:b/>
          <w:color w:val="auto"/>
          <w:sz w:val="28"/>
          <w:szCs w:val="28"/>
          <w:u w:val="single"/>
        </w:rPr>
      </w:pPr>
      <w:r>
        <w:rPr>
          <w:rFonts w:ascii="Cambria" w:hAnsi="Cambria"/>
          <w:b/>
          <w:color w:val="auto"/>
          <w:sz w:val="28"/>
          <w:szCs w:val="28"/>
          <w:u w:val="single"/>
        </w:rPr>
        <w:t>Overall JPM’s score – 6.95</w:t>
      </w:r>
      <w:r w:rsidR="005A44E8" w:rsidRPr="00A56E8C">
        <w:rPr>
          <w:rFonts w:ascii="Cambria" w:hAnsi="Cambria"/>
          <w:b/>
          <w:color w:val="auto"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2260"/>
        <w:gridCol w:w="2858"/>
        <w:gridCol w:w="2487"/>
      </w:tblGrid>
      <w:tr w:rsidR="005A44E8" w:rsidRPr="00750F72" w14:paraId="724477C9" w14:textId="77777777" w:rsidTr="00536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69941E0E" w14:textId="77777777" w:rsidR="005A44E8" w:rsidRPr="00750F72" w:rsidRDefault="005A44E8" w:rsidP="00536CB1">
            <w:pPr>
              <w:jc w:val="both"/>
              <w:rPr>
                <w:rFonts w:ascii="Cambria" w:hAnsi="Cambria" w:cs="Times New Roman"/>
                <w:b/>
                <w:color w:val="auto"/>
                <w:szCs w:val="24"/>
              </w:rPr>
            </w:pPr>
            <w:r w:rsidRPr="00750F72">
              <w:rPr>
                <w:rFonts w:ascii="Cambria" w:hAnsi="Cambria" w:cs="Times New Roman"/>
                <w:b/>
                <w:color w:val="auto"/>
                <w:szCs w:val="24"/>
              </w:rPr>
              <w:t xml:space="preserve">Item </w:t>
            </w:r>
          </w:p>
        </w:tc>
        <w:tc>
          <w:tcPr>
            <w:tcW w:w="2260" w:type="dxa"/>
          </w:tcPr>
          <w:p w14:paraId="7251ED74" w14:textId="77777777" w:rsidR="005A44E8" w:rsidRPr="00750F72" w:rsidRDefault="005A44E8" w:rsidP="00536C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Cs w:val="24"/>
              </w:rPr>
            </w:pPr>
            <w:r w:rsidRPr="00750F72">
              <w:rPr>
                <w:rFonts w:ascii="Cambria" w:hAnsi="Cambria" w:cs="Times New Roman"/>
                <w:b/>
                <w:color w:val="auto"/>
                <w:szCs w:val="24"/>
              </w:rPr>
              <w:t xml:space="preserve">Score </w:t>
            </w:r>
          </w:p>
        </w:tc>
        <w:tc>
          <w:tcPr>
            <w:tcW w:w="2858" w:type="dxa"/>
          </w:tcPr>
          <w:p w14:paraId="4C0F6A55" w14:textId="77777777" w:rsidR="005A44E8" w:rsidRPr="00750F72" w:rsidRDefault="005A44E8" w:rsidP="00536C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Cs w:val="24"/>
              </w:rPr>
            </w:pPr>
            <w:r w:rsidRPr="00750F72">
              <w:rPr>
                <w:rFonts w:ascii="Cambria" w:hAnsi="Cambria" w:cs="Times New Roman"/>
                <w:b/>
                <w:color w:val="auto"/>
                <w:szCs w:val="24"/>
              </w:rPr>
              <w:t>Percentage allocation</w:t>
            </w:r>
          </w:p>
        </w:tc>
        <w:tc>
          <w:tcPr>
            <w:tcW w:w="2487" w:type="dxa"/>
          </w:tcPr>
          <w:p w14:paraId="066F2E00" w14:textId="77777777" w:rsidR="005A44E8" w:rsidRPr="00750F72" w:rsidRDefault="005A44E8" w:rsidP="00536C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Cs w:val="24"/>
              </w:rPr>
            </w:pPr>
            <w:r w:rsidRPr="00750F72">
              <w:rPr>
                <w:rFonts w:ascii="Cambria" w:hAnsi="Cambria" w:cs="Times New Roman"/>
                <w:b/>
                <w:color w:val="auto"/>
                <w:szCs w:val="24"/>
              </w:rPr>
              <w:t xml:space="preserve">Total Score </w:t>
            </w:r>
          </w:p>
        </w:tc>
      </w:tr>
      <w:tr w:rsidR="005A44E8" w:rsidRPr="00750F72" w14:paraId="16AB6E49" w14:textId="77777777" w:rsidTr="00536CB1">
        <w:trPr>
          <w:trHeight w:hRule="exact"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47B4464A" w14:textId="77777777" w:rsidR="005A44E8" w:rsidRPr="00750F72" w:rsidRDefault="005A44E8" w:rsidP="00536CB1">
            <w:pPr>
              <w:jc w:val="both"/>
              <w:rPr>
                <w:rFonts w:ascii="Cambria" w:hAnsi="Cambria" w:cs="Times New Roman"/>
                <w:color w:val="auto"/>
                <w:sz w:val="22"/>
              </w:rPr>
            </w:pPr>
            <w:r w:rsidRPr="00750F72">
              <w:rPr>
                <w:rFonts w:ascii="Cambria" w:hAnsi="Cambria" w:cs="Times New Roman"/>
                <w:color w:val="auto"/>
                <w:sz w:val="22"/>
              </w:rPr>
              <w:t>Reimbursement allocation</w:t>
            </w:r>
            <w:r>
              <w:rPr>
                <w:rFonts w:ascii="Cambria" w:hAnsi="Cambria" w:cs="Times New Roman"/>
                <w:color w:val="auto"/>
                <w:sz w:val="22"/>
              </w:rPr>
              <w:t xml:space="preserve"> (structure including upfront reimbursement)</w:t>
            </w:r>
          </w:p>
        </w:tc>
        <w:tc>
          <w:tcPr>
            <w:tcW w:w="2260" w:type="dxa"/>
          </w:tcPr>
          <w:p w14:paraId="69F970DA" w14:textId="2C1E0D5F" w:rsidR="005A44E8" w:rsidRPr="00750F72" w:rsidRDefault="00570A99" w:rsidP="00536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9</w:t>
            </w:r>
          </w:p>
        </w:tc>
        <w:tc>
          <w:tcPr>
            <w:tcW w:w="2858" w:type="dxa"/>
          </w:tcPr>
          <w:p w14:paraId="216B5196" w14:textId="77777777" w:rsidR="005A44E8" w:rsidRPr="00750F72" w:rsidRDefault="005A44E8" w:rsidP="00536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 w:rsidRPr="00750F72">
              <w:rPr>
                <w:rFonts w:ascii="Cambria" w:hAnsi="Cambria" w:cs="Times New Roman"/>
                <w:color w:val="auto"/>
                <w:sz w:val="22"/>
              </w:rPr>
              <w:t>50%</w:t>
            </w:r>
          </w:p>
        </w:tc>
        <w:tc>
          <w:tcPr>
            <w:tcW w:w="2487" w:type="dxa"/>
          </w:tcPr>
          <w:p w14:paraId="2D259AAB" w14:textId="20438CB8" w:rsidR="005A44E8" w:rsidRPr="00750F72" w:rsidRDefault="00570A99" w:rsidP="00536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4.5</w:t>
            </w:r>
          </w:p>
        </w:tc>
      </w:tr>
      <w:tr w:rsidR="005A44E8" w:rsidRPr="00750F72" w14:paraId="58EDA9D8" w14:textId="77777777" w:rsidTr="00536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49B2AA08" w14:textId="77777777" w:rsidR="005A44E8" w:rsidRPr="00750F72" w:rsidRDefault="005A44E8" w:rsidP="00536CB1">
            <w:pPr>
              <w:jc w:val="both"/>
              <w:rPr>
                <w:rFonts w:ascii="Cambria" w:hAnsi="Cambria" w:cs="Times New Roman"/>
                <w:color w:val="auto"/>
                <w:sz w:val="22"/>
              </w:rPr>
            </w:pPr>
            <w:r w:rsidRPr="00750F72">
              <w:rPr>
                <w:rFonts w:ascii="Cambria" w:hAnsi="Cambria" w:cs="Times New Roman"/>
                <w:color w:val="auto"/>
                <w:sz w:val="22"/>
              </w:rPr>
              <w:t>Discount to strategic shareholders</w:t>
            </w:r>
          </w:p>
        </w:tc>
        <w:tc>
          <w:tcPr>
            <w:tcW w:w="2260" w:type="dxa"/>
          </w:tcPr>
          <w:p w14:paraId="6631C1A1" w14:textId="7EE8070E" w:rsidR="005A44E8" w:rsidRPr="00750F72" w:rsidRDefault="00570A99" w:rsidP="00536CB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10</w:t>
            </w:r>
          </w:p>
        </w:tc>
        <w:tc>
          <w:tcPr>
            <w:tcW w:w="2858" w:type="dxa"/>
          </w:tcPr>
          <w:p w14:paraId="1DDE3DB1" w14:textId="77777777" w:rsidR="005A44E8" w:rsidRPr="00750F72" w:rsidRDefault="005A44E8" w:rsidP="00536CB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 w:rsidRPr="00750F72">
              <w:rPr>
                <w:rFonts w:ascii="Cambria" w:hAnsi="Cambria" w:cs="Times New Roman"/>
                <w:color w:val="auto"/>
                <w:sz w:val="22"/>
              </w:rPr>
              <w:t>15%</w:t>
            </w:r>
          </w:p>
        </w:tc>
        <w:tc>
          <w:tcPr>
            <w:tcW w:w="2487" w:type="dxa"/>
          </w:tcPr>
          <w:p w14:paraId="71F180F8" w14:textId="5A7A22EB" w:rsidR="005A44E8" w:rsidRPr="00750F72" w:rsidRDefault="00570A99" w:rsidP="00536CB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1.5</w:t>
            </w:r>
          </w:p>
        </w:tc>
      </w:tr>
      <w:tr w:rsidR="005A44E8" w:rsidRPr="00750F72" w14:paraId="1A55B34C" w14:textId="77777777" w:rsidTr="00536CB1">
        <w:trPr>
          <w:trHeight w:hRule="exact"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3099B822" w14:textId="77777777" w:rsidR="005A44E8" w:rsidRPr="00750F72" w:rsidRDefault="005A44E8" w:rsidP="00536CB1">
            <w:pPr>
              <w:jc w:val="both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 xml:space="preserve">Proxy/Corporate </w:t>
            </w:r>
            <w:r w:rsidRPr="00750F72">
              <w:rPr>
                <w:rFonts w:ascii="Cambria" w:hAnsi="Cambria" w:cs="Times New Roman"/>
                <w:color w:val="auto"/>
                <w:sz w:val="22"/>
              </w:rPr>
              <w:t xml:space="preserve">Action related services </w:t>
            </w:r>
          </w:p>
        </w:tc>
        <w:tc>
          <w:tcPr>
            <w:tcW w:w="2260" w:type="dxa"/>
          </w:tcPr>
          <w:p w14:paraId="1439C313" w14:textId="55FECF83" w:rsidR="005A44E8" w:rsidRPr="00750F72" w:rsidRDefault="00570A99" w:rsidP="00536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0</w:t>
            </w:r>
          </w:p>
        </w:tc>
        <w:tc>
          <w:tcPr>
            <w:tcW w:w="2858" w:type="dxa"/>
          </w:tcPr>
          <w:p w14:paraId="06FD77C3" w14:textId="77777777" w:rsidR="005A44E8" w:rsidRPr="00750F72" w:rsidRDefault="005A44E8" w:rsidP="00536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 w:rsidRPr="00750F72">
              <w:rPr>
                <w:rFonts w:ascii="Cambria" w:hAnsi="Cambria" w:cs="Times New Roman"/>
                <w:color w:val="auto"/>
                <w:sz w:val="22"/>
              </w:rPr>
              <w:t>10%</w:t>
            </w:r>
          </w:p>
        </w:tc>
        <w:tc>
          <w:tcPr>
            <w:tcW w:w="2487" w:type="dxa"/>
          </w:tcPr>
          <w:p w14:paraId="44E82EBC" w14:textId="1A9A746E" w:rsidR="005A44E8" w:rsidRPr="00750F72" w:rsidRDefault="00570A99" w:rsidP="00536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0</w:t>
            </w:r>
          </w:p>
        </w:tc>
      </w:tr>
      <w:tr w:rsidR="005A44E8" w:rsidRPr="00750F72" w14:paraId="188BFE73" w14:textId="77777777" w:rsidTr="00536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64CC2BA5" w14:textId="0FFBB4A1" w:rsidR="005A44E8" w:rsidRDefault="005A44E8" w:rsidP="00536CB1">
            <w:pPr>
              <w:jc w:val="both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Client Support (R</w:t>
            </w:r>
            <w:r w:rsidR="00423AFB">
              <w:rPr>
                <w:rFonts w:ascii="Cambria" w:hAnsi="Cambria" w:cs="Times New Roman"/>
                <w:color w:val="auto"/>
                <w:sz w:val="22"/>
              </w:rPr>
              <w:t xml:space="preserve">egional </w:t>
            </w:r>
            <w:r>
              <w:rPr>
                <w:rFonts w:ascii="Cambria" w:hAnsi="Cambria" w:cs="Times New Roman"/>
                <w:color w:val="auto"/>
                <w:sz w:val="22"/>
              </w:rPr>
              <w:t>M</w:t>
            </w:r>
            <w:r w:rsidR="00423AFB">
              <w:rPr>
                <w:rFonts w:ascii="Cambria" w:hAnsi="Cambria" w:cs="Times New Roman"/>
                <w:color w:val="auto"/>
                <w:sz w:val="22"/>
              </w:rPr>
              <w:t>anagement</w:t>
            </w:r>
            <w:r>
              <w:rPr>
                <w:rFonts w:ascii="Cambria" w:hAnsi="Cambria" w:cs="Times New Roman"/>
                <w:color w:val="auto"/>
                <w:sz w:val="22"/>
              </w:rPr>
              <w:t>’s coverage)</w:t>
            </w:r>
          </w:p>
        </w:tc>
        <w:tc>
          <w:tcPr>
            <w:tcW w:w="2260" w:type="dxa"/>
          </w:tcPr>
          <w:p w14:paraId="07B34C43" w14:textId="5C37ED55" w:rsidR="005A44E8" w:rsidRPr="00750F72" w:rsidRDefault="00570A99" w:rsidP="00536CB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7</w:t>
            </w:r>
          </w:p>
        </w:tc>
        <w:tc>
          <w:tcPr>
            <w:tcW w:w="2858" w:type="dxa"/>
          </w:tcPr>
          <w:p w14:paraId="0481485C" w14:textId="77777777" w:rsidR="005A44E8" w:rsidRPr="00750F72" w:rsidRDefault="005A44E8" w:rsidP="00536CB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10%</w:t>
            </w:r>
          </w:p>
        </w:tc>
        <w:tc>
          <w:tcPr>
            <w:tcW w:w="2487" w:type="dxa"/>
          </w:tcPr>
          <w:p w14:paraId="6EC1B6BA" w14:textId="32715862" w:rsidR="005A44E8" w:rsidRPr="00750F72" w:rsidRDefault="00570A99" w:rsidP="00536CB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0.7</w:t>
            </w:r>
          </w:p>
        </w:tc>
      </w:tr>
      <w:tr w:rsidR="005A44E8" w:rsidRPr="00750F72" w14:paraId="337FA778" w14:textId="77777777" w:rsidTr="00536CB1">
        <w:trPr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4DAD4570" w14:textId="77777777" w:rsidR="005A44E8" w:rsidRPr="00750F72" w:rsidRDefault="005A44E8" w:rsidP="00536CB1">
            <w:pPr>
              <w:jc w:val="both"/>
              <w:rPr>
                <w:rFonts w:ascii="Cambria" w:hAnsi="Cambria" w:cs="Times New Roman"/>
                <w:color w:val="auto"/>
                <w:sz w:val="22"/>
              </w:rPr>
            </w:pPr>
            <w:r w:rsidRPr="00750F72">
              <w:rPr>
                <w:rFonts w:ascii="Cambria" w:hAnsi="Cambria" w:cs="Times New Roman"/>
                <w:color w:val="auto"/>
                <w:sz w:val="22"/>
              </w:rPr>
              <w:t xml:space="preserve">Local presence </w:t>
            </w:r>
          </w:p>
        </w:tc>
        <w:tc>
          <w:tcPr>
            <w:tcW w:w="2260" w:type="dxa"/>
          </w:tcPr>
          <w:p w14:paraId="0B4DB45B" w14:textId="6AF39EDB" w:rsidR="005A44E8" w:rsidRPr="00750F72" w:rsidRDefault="00570A99" w:rsidP="00536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5</w:t>
            </w:r>
          </w:p>
        </w:tc>
        <w:tc>
          <w:tcPr>
            <w:tcW w:w="2858" w:type="dxa"/>
          </w:tcPr>
          <w:p w14:paraId="3F0CB24B" w14:textId="77777777" w:rsidR="005A44E8" w:rsidRPr="00750F72" w:rsidRDefault="005A44E8" w:rsidP="00536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 w:rsidRPr="00750F72">
              <w:rPr>
                <w:rFonts w:ascii="Cambria" w:hAnsi="Cambria" w:cs="Times New Roman"/>
                <w:color w:val="auto"/>
                <w:sz w:val="22"/>
              </w:rPr>
              <w:t>5%</w:t>
            </w:r>
          </w:p>
        </w:tc>
        <w:tc>
          <w:tcPr>
            <w:tcW w:w="2487" w:type="dxa"/>
          </w:tcPr>
          <w:p w14:paraId="6520B9AA" w14:textId="415878D3" w:rsidR="005A44E8" w:rsidRPr="00750F72" w:rsidRDefault="00570A99" w:rsidP="00536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0.25</w:t>
            </w:r>
          </w:p>
        </w:tc>
      </w:tr>
      <w:tr w:rsidR="005A44E8" w:rsidRPr="00750F72" w14:paraId="684F741A" w14:textId="77777777" w:rsidTr="00536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434871F9" w14:textId="77777777" w:rsidR="005A44E8" w:rsidRPr="00750F72" w:rsidRDefault="005A44E8" w:rsidP="00536CB1">
            <w:pPr>
              <w:jc w:val="both"/>
              <w:rPr>
                <w:rFonts w:ascii="Cambria" w:hAnsi="Cambria" w:cs="Times New Roman"/>
                <w:color w:val="auto"/>
                <w:sz w:val="22"/>
              </w:rPr>
            </w:pPr>
            <w:r w:rsidRPr="00750F72">
              <w:rPr>
                <w:rFonts w:ascii="Cambria" w:hAnsi="Cambria" w:cs="Times New Roman"/>
                <w:color w:val="auto"/>
                <w:sz w:val="22"/>
              </w:rPr>
              <w:lastRenderedPageBreak/>
              <w:t>IR Services (including access to DR systems, IPREO or TR’s systems)</w:t>
            </w:r>
          </w:p>
        </w:tc>
        <w:tc>
          <w:tcPr>
            <w:tcW w:w="2260" w:type="dxa"/>
          </w:tcPr>
          <w:p w14:paraId="4D492CF5" w14:textId="7C01C558" w:rsidR="005A44E8" w:rsidRPr="00750F72" w:rsidRDefault="00570A99" w:rsidP="00536CB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0</w:t>
            </w:r>
          </w:p>
        </w:tc>
        <w:tc>
          <w:tcPr>
            <w:tcW w:w="2858" w:type="dxa"/>
          </w:tcPr>
          <w:p w14:paraId="0B4E8222" w14:textId="77777777" w:rsidR="005A44E8" w:rsidRPr="00750F72" w:rsidRDefault="005A44E8" w:rsidP="00536CB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5%</w:t>
            </w:r>
          </w:p>
        </w:tc>
        <w:tc>
          <w:tcPr>
            <w:tcW w:w="2487" w:type="dxa"/>
          </w:tcPr>
          <w:p w14:paraId="5DE2FEA2" w14:textId="7A200C98" w:rsidR="005A44E8" w:rsidRPr="00750F72" w:rsidRDefault="00570A99" w:rsidP="00536CB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0</w:t>
            </w:r>
          </w:p>
        </w:tc>
      </w:tr>
      <w:tr w:rsidR="005A44E8" w:rsidRPr="00750F72" w14:paraId="1B16CB20" w14:textId="77777777" w:rsidTr="00536CB1">
        <w:trPr>
          <w:trHeight w:hRule="exact" w:val="1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4B25EED3" w14:textId="1E7542A5" w:rsidR="005A44E8" w:rsidRPr="00750F72" w:rsidRDefault="005A44E8" w:rsidP="00536CB1">
            <w:pPr>
              <w:jc w:val="both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Termination/</w:t>
            </w:r>
            <w:r w:rsidR="00372F71">
              <w:rPr>
                <w:rFonts w:ascii="Cambria" w:hAnsi="Cambria" w:cs="Times New Roman"/>
                <w:color w:val="auto"/>
                <w:sz w:val="22"/>
              </w:rPr>
              <w:t>s</w:t>
            </w:r>
            <w:r>
              <w:rPr>
                <w:rFonts w:ascii="Cambria" w:hAnsi="Cambria" w:cs="Times New Roman"/>
                <w:color w:val="auto"/>
                <w:sz w:val="22"/>
              </w:rPr>
              <w:t>tructure of the new agreement (</w:t>
            </w:r>
            <w:r w:rsidR="004229EE">
              <w:rPr>
                <w:rFonts w:ascii="Cambria" w:hAnsi="Cambria" w:cs="Times New Roman"/>
                <w:color w:val="auto"/>
                <w:sz w:val="22"/>
              </w:rPr>
              <w:t>including</w:t>
            </w:r>
            <w:r>
              <w:rPr>
                <w:rFonts w:ascii="Cambria" w:hAnsi="Cambria" w:cs="Times New Roman"/>
                <w:color w:val="auto"/>
                <w:sz w:val="22"/>
              </w:rPr>
              <w:t xml:space="preserve"> termination clause)</w:t>
            </w:r>
          </w:p>
        </w:tc>
        <w:tc>
          <w:tcPr>
            <w:tcW w:w="2260" w:type="dxa"/>
          </w:tcPr>
          <w:p w14:paraId="0947E547" w14:textId="7BA5BCA9" w:rsidR="005A44E8" w:rsidRDefault="00570A99" w:rsidP="00536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0</w:t>
            </w:r>
          </w:p>
        </w:tc>
        <w:tc>
          <w:tcPr>
            <w:tcW w:w="2858" w:type="dxa"/>
          </w:tcPr>
          <w:p w14:paraId="2633995B" w14:textId="77777777" w:rsidR="005A44E8" w:rsidRDefault="005A44E8" w:rsidP="00536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5%</w:t>
            </w:r>
          </w:p>
        </w:tc>
        <w:tc>
          <w:tcPr>
            <w:tcW w:w="2487" w:type="dxa"/>
          </w:tcPr>
          <w:p w14:paraId="248EF341" w14:textId="3A900A2C" w:rsidR="005A44E8" w:rsidRPr="00750F72" w:rsidRDefault="00570A99" w:rsidP="00536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  <w:sz w:val="22"/>
              </w:rPr>
            </w:pPr>
            <w:r>
              <w:rPr>
                <w:rFonts w:ascii="Cambria" w:hAnsi="Cambria" w:cs="Times New Roman"/>
                <w:color w:val="auto"/>
                <w:sz w:val="22"/>
              </w:rPr>
              <w:t>0</w:t>
            </w:r>
          </w:p>
        </w:tc>
      </w:tr>
    </w:tbl>
    <w:p w14:paraId="526E392C" w14:textId="77777777" w:rsidR="005A44E8" w:rsidRDefault="005A44E8" w:rsidP="00B92993">
      <w:pPr>
        <w:rPr>
          <w:rFonts w:ascii="Cambria" w:hAnsi="Cambria"/>
          <w:color w:val="FF0000"/>
          <w:sz w:val="40"/>
        </w:rPr>
      </w:pPr>
    </w:p>
    <w:p w14:paraId="421178C9" w14:textId="41BB61B4" w:rsidR="00B92993" w:rsidRPr="00B92993" w:rsidRDefault="00B92993" w:rsidP="00B92993">
      <w:pPr>
        <w:rPr>
          <w:rFonts w:ascii="Cambria" w:hAnsi="Cambria"/>
          <w:color w:val="FF0000"/>
          <w:sz w:val="40"/>
        </w:rPr>
      </w:pPr>
      <w:r w:rsidRPr="00B92993">
        <w:rPr>
          <w:rFonts w:ascii="Cambria" w:hAnsi="Cambria"/>
          <w:color w:val="FF0000"/>
          <w:sz w:val="40"/>
        </w:rPr>
        <w:t xml:space="preserve">Assessment of DR </w:t>
      </w:r>
      <w:r w:rsidR="001A0718">
        <w:rPr>
          <w:rFonts w:ascii="Cambria" w:hAnsi="Cambria"/>
          <w:color w:val="FF0000"/>
          <w:sz w:val="40"/>
        </w:rPr>
        <w:t>P</w:t>
      </w:r>
      <w:r w:rsidRPr="00B92993">
        <w:rPr>
          <w:rFonts w:ascii="Cambria" w:hAnsi="Cambria"/>
          <w:color w:val="FF0000"/>
          <w:sz w:val="40"/>
        </w:rPr>
        <w:t xml:space="preserve">roposals for the </w:t>
      </w:r>
      <w:r w:rsidR="001A0718">
        <w:rPr>
          <w:rFonts w:ascii="Cambria" w:hAnsi="Cambria"/>
          <w:color w:val="FF0000"/>
          <w:sz w:val="40"/>
        </w:rPr>
        <w:t>N</w:t>
      </w:r>
      <w:r w:rsidRPr="00B92993">
        <w:rPr>
          <w:rFonts w:ascii="Cambria" w:hAnsi="Cambria"/>
          <w:color w:val="FF0000"/>
          <w:sz w:val="40"/>
        </w:rPr>
        <w:t xml:space="preserve">ew DR </w:t>
      </w:r>
      <w:r w:rsidR="001A0718">
        <w:rPr>
          <w:rFonts w:ascii="Cambria" w:hAnsi="Cambria"/>
          <w:color w:val="FF0000"/>
          <w:sz w:val="40"/>
        </w:rPr>
        <w:t>R</w:t>
      </w:r>
      <w:r w:rsidRPr="00B92993">
        <w:rPr>
          <w:rFonts w:ascii="Cambria" w:hAnsi="Cambria"/>
          <w:color w:val="FF0000"/>
          <w:sz w:val="40"/>
        </w:rPr>
        <w:t>elationship</w:t>
      </w:r>
    </w:p>
    <w:p w14:paraId="33537E5A" w14:textId="77777777" w:rsidR="00C41978" w:rsidRDefault="00C41978" w:rsidP="00407A2A">
      <w:pPr>
        <w:rPr>
          <w:color w:val="FF0000"/>
        </w:rPr>
      </w:pPr>
    </w:p>
    <w:tbl>
      <w:tblPr>
        <w:tblStyle w:val="TableGrid"/>
        <w:tblW w:w="11624" w:type="dxa"/>
        <w:tblInd w:w="-351" w:type="dxa"/>
        <w:tblLook w:val="00A0" w:firstRow="1" w:lastRow="0" w:firstColumn="1" w:lastColumn="0" w:noHBand="0" w:noVBand="0"/>
      </w:tblPr>
      <w:tblGrid>
        <w:gridCol w:w="2835"/>
        <w:gridCol w:w="2694"/>
        <w:gridCol w:w="3402"/>
        <w:gridCol w:w="2693"/>
      </w:tblGrid>
      <w:tr w:rsidR="00500FD5" w14:paraId="36F812C9" w14:textId="77777777" w:rsidTr="00930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523198A" w14:textId="580D2293" w:rsidR="00B92993" w:rsidRPr="00F8769F" w:rsidRDefault="00B92993" w:rsidP="00E21DEE">
            <w:pPr>
              <w:spacing w:before="2" w:after="2"/>
              <w:jc w:val="center"/>
              <w:rPr>
                <w:rFonts w:asciiTheme="majorHAnsi" w:hAnsiTheme="majorHAnsi"/>
                <w:b/>
                <w:color w:val="FF0000"/>
                <w:szCs w:val="24"/>
              </w:rPr>
            </w:pPr>
            <w:r w:rsidRPr="00F8769F">
              <w:rPr>
                <w:rFonts w:asciiTheme="majorHAnsi" w:hAnsiTheme="majorHAnsi"/>
                <w:b/>
                <w:color w:val="FF0000"/>
                <w:szCs w:val="24"/>
              </w:rPr>
              <w:t>Item:</w:t>
            </w:r>
          </w:p>
        </w:tc>
        <w:tc>
          <w:tcPr>
            <w:tcW w:w="2694" w:type="dxa"/>
          </w:tcPr>
          <w:p w14:paraId="4E978A9D" w14:textId="6050E593" w:rsidR="00B92993" w:rsidRPr="00F8769F" w:rsidRDefault="00DD43F9" w:rsidP="00E21DEE">
            <w:pPr>
              <w:spacing w:before="2" w:after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Cs w:val="24"/>
              </w:rPr>
            </w:pPr>
            <w:r w:rsidRPr="00F8769F">
              <w:rPr>
                <w:rFonts w:asciiTheme="majorHAnsi" w:hAnsiTheme="majorHAnsi"/>
                <w:b/>
                <w:color w:val="FF0000"/>
                <w:szCs w:val="24"/>
              </w:rPr>
              <w:t>BNY Mellon</w:t>
            </w:r>
          </w:p>
        </w:tc>
        <w:tc>
          <w:tcPr>
            <w:tcW w:w="3402" w:type="dxa"/>
          </w:tcPr>
          <w:p w14:paraId="26AD8DD1" w14:textId="043B20D2" w:rsidR="00B92993" w:rsidRPr="00F8769F" w:rsidRDefault="009D601F" w:rsidP="00E21DEE">
            <w:pPr>
              <w:spacing w:before="2" w:after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Cs w:val="24"/>
              </w:rPr>
            </w:pPr>
            <w:r w:rsidRPr="00F8769F">
              <w:rPr>
                <w:rFonts w:asciiTheme="majorHAnsi" w:hAnsiTheme="majorHAnsi"/>
                <w:b/>
                <w:color w:val="FF0000"/>
                <w:szCs w:val="24"/>
              </w:rPr>
              <w:t>Deutsche Bank</w:t>
            </w:r>
          </w:p>
        </w:tc>
        <w:tc>
          <w:tcPr>
            <w:tcW w:w="2693" w:type="dxa"/>
          </w:tcPr>
          <w:p w14:paraId="6B264A2A" w14:textId="1A841458" w:rsidR="00B92993" w:rsidRPr="00F8769F" w:rsidRDefault="00DD43F9" w:rsidP="00E21DEE">
            <w:pPr>
              <w:spacing w:before="2" w:after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</w:rPr>
            </w:pPr>
            <w:r w:rsidRPr="00F8769F">
              <w:rPr>
                <w:rFonts w:asciiTheme="majorHAnsi" w:hAnsiTheme="majorHAnsi"/>
                <w:b/>
                <w:color w:val="FF0000"/>
              </w:rPr>
              <w:t>JP Morgan</w:t>
            </w:r>
          </w:p>
        </w:tc>
      </w:tr>
      <w:tr w:rsidR="00500FD5" w14:paraId="37207FEC" w14:textId="77777777" w:rsidTr="00F8769F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5F587A7" w14:textId="2B53CA0C" w:rsidR="00B92993" w:rsidRPr="00730C0B" w:rsidRDefault="00F86720" w:rsidP="009D601F">
            <w:pPr>
              <w:spacing w:before="2" w:after="2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Upfront reimbursement </w:t>
            </w:r>
          </w:p>
        </w:tc>
        <w:tc>
          <w:tcPr>
            <w:tcW w:w="2694" w:type="dxa"/>
          </w:tcPr>
          <w:p w14:paraId="1761FB52" w14:textId="7123386E" w:rsidR="00B92993" w:rsidRPr="00730C0B" w:rsidRDefault="009D601F" w:rsidP="006C1C08">
            <w:pPr>
              <w:spacing w:before="2" w:after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$10,000,000</w:t>
            </w:r>
          </w:p>
        </w:tc>
        <w:tc>
          <w:tcPr>
            <w:tcW w:w="3402" w:type="dxa"/>
          </w:tcPr>
          <w:p w14:paraId="24F3309D" w14:textId="092BF48C" w:rsidR="00B92993" w:rsidRPr="00730C0B" w:rsidRDefault="00E21DEE" w:rsidP="006C1C08">
            <w:pPr>
              <w:spacing w:before="2" w:after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(First year gross revenue) – $12,000,000-$14,000,000</w:t>
            </w:r>
          </w:p>
        </w:tc>
        <w:tc>
          <w:tcPr>
            <w:tcW w:w="2693" w:type="dxa"/>
          </w:tcPr>
          <w:p w14:paraId="209CB6E0" w14:textId="564F91B8" w:rsidR="00B92993" w:rsidRPr="00730C0B" w:rsidRDefault="00E21DEE" w:rsidP="006C1C08">
            <w:pPr>
              <w:spacing w:before="2" w:after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$2,000,000</w:t>
            </w:r>
          </w:p>
        </w:tc>
      </w:tr>
      <w:tr w:rsidR="00500FD5" w14:paraId="625F626A" w14:textId="77777777" w:rsidTr="009308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4D864B0" w14:textId="178A9581" w:rsidR="00B92993" w:rsidRPr="00730C0B" w:rsidRDefault="00B92993" w:rsidP="00E21DEE">
            <w:pPr>
              <w:spacing w:before="2" w:after="2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Revenue </w:t>
            </w:r>
            <w:r w:rsidR="001A0718">
              <w:rPr>
                <w:rFonts w:asciiTheme="majorHAnsi" w:hAnsiTheme="majorHAnsi"/>
                <w:color w:val="auto"/>
                <w:sz w:val="22"/>
              </w:rPr>
              <w:t>s</w:t>
            </w: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haring </w:t>
            </w:r>
            <w:r w:rsidR="00E21DEE" w:rsidRPr="00730C0B">
              <w:rPr>
                <w:rFonts w:asciiTheme="majorHAnsi" w:hAnsiTheme="majorHAnsi"/>
                <w:color w:val="auto"/>
                <w:sz w:val="22"/>
              </w:rPr>
              <w:t>based on a percentage (%) allocation from a depositary bank’s revenue (</w:t>
            </w:r>
            <w:r w:rsidR="001A0718">
              <w:rPr>
                <w:rFonts w:asciiTheme="majorHAnsi" w:hAnsiTheme="majorHAnsi"/>
                <w:color w:val="auto"/>
                <w:sz w:val="22"/>
              </w:rPr>
              <w:t>g</w:t>
            </w:r>
            <w:r w:rsidR="00E21DEE" w:rsidRPr="00730C0B">
              <w:rPr>
                <w:rFonts w:asciiTheme="majorHAnsi" w:hAnsiTheme="majorHAnsi"/>
                <w:color w:val="auto"/>
                <w:sz w:val="22"/>
              </w:rPr>
              <w:t xml:space="preserve">ross or </w:t>
            </w:r>
            <w:r w:rsidR="001A0718">
              <w:rPr>
                <w:rFonts w:asciiTheme="majorHAnsi" w:hAnsiTheme="majorHAnsi"/>
                <w:color w:val="auto"/>
                <w:sz w:val="22"/>
              </w:rPr>
              <w:t>n</w:t>
            </w:r>
            <w:r w:rsidR="00E21DEE" w:rsidRPr="00730C0B">
              <w:rPr>
                <w:rFonts w:asciiTheme="majorHAnsi" w:hAnsiTheme="majorHAnsi"/>
                <w:color w:val="auto"/>
                <w:sz w:val="22"/>
              </w:rPr>
              <w:t xml:space="preserve">et) </w:t>
            </w:r>
          </w:p>
        </w:tc>
        <w:tc>
          <w:tcPr>
            <w:tcW w:w="2694" w:type="dxa"/>
          </w:tcPr>
          <w:p w14:paraId="2C9B999E" w14:textId="4AC41D7D" w:rsidR="00B92993" w:rsidRPr="00730C0B" w:rsidRDefault="00E21DEE" w:rsidP="006C1C08">
            <w:pPr>
              <w:spacing w:before="2" w:after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80% (Gross)</w:t>
            </w:r>
          </w:p>
        </w:tc>
        <w:tc>
          <w:tcPr>
            <w:tcW w:w="3402" w:type="dxa"/>
          </w:tcPr>
          <w:p w14:paraId="7AD085C6" w14:textId="00838188" w:rsidR="00B92993" w:rsidRPr="00730C0B" w:rsidRDefault="00500FD5" w:rsidP="006C1C08">
            <w:pPr>
              <w:pStyle w:val="ListParagraph"/>
              <w:numPr>
                <w:ilvl w:val="0"/>
                <w:numId w:val="49"/>
              </w:numPr>
              <w:spacing w:before="2" w:after="2"/>
              <w:ind w:left="209" w:hanging="2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Model 1: </w:t>
            </w:r>
            <w:r w:rsidR="00E21DEE" w:rsidRPr="00730C0B">
              <w:rPr>
                <w:rFonts w:asciiTheme="majorHAnsi" w:hAnsiTheme="majorHAnsi"/>
                <w:color w:val="auto"/>
                <w:sz w:val="22"/>
              </w:rPr>
              <w:t>If DR fee &lt;/= $0,02/DR – 77% (</w:t>
            </w:r>
            <w:r w:rsidR="009308DD" w:rsidRPr="00730C0B">
              <w:rPr>
                <w:rFonts w:asciiTheme="majorHAnsi" w:hAnsiTheme="majorHAnsi"/>
                <w:color w:val="auto"/>
                <w:sz w:val="22"/>
              </w:rPr>
              <w:t>Net</w:t>
            </w:r>
            <w:r w:rsidR="00E21DEE" w:rsidRPr="00730C0B">
              <w:rPr>
                <w:rFonts w:asciiTheme="majorHAnsi" w:hAnsiTheme="majorHAnsi"/>
                <w:color w:val="auto"/>
                <w:sz w:val="22"/>
              </w:rPr>
              <w:t xml:space="preserve">) </w:t>
            </w:r>
          </w:p>
          <w:p w14:paraId="6861089B" w14:textId="500CE1B2" w:rsidR="00E21DEE" w:rsidRPr="00730C0B" w:rsidRDefault="00500FD5" w:rsidP="006C1C08">
            <w:pPr>
              <w:spacing w:before="2" w:after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Model 2: </w:t>
            </w:r>
            <w:r w:rsidR="00E21DEE" w:rsidRPr="00730C0B">
              <w:rPr>
                <w:rFonts w:asciiTheme="majorHAnsi" w:hAnsiTheme="majorHAnsi"/>
                <w:color w:val="auto"/>
                <w:sz w:val="22"/>
              </w:rPr>
              <w:t>If DR fee &gt;/=$0,03/DR – 83</w:t>
            </w:r>
            <w:r w:rsidR="009308DD" w:rsidRPr="00730C0B">
              <w:rPr>
                <w:rFonts w:asciiTheme="majorHAnsi" w:hAnsiTheme="majorHAnsi"/>
                <w:color w:val="auto"/>
                <w:sz w:val="22"/>
              </w:rPr>
              <w:t>%</w:t>
            </w:r>
            <w:r w:rsidR="00E21DEE" w:rsidRPr="00730C0B">
              <w:rPr>
                <w:rFonts w:asciiTheme="majorHAnsi" w:hAnsiTheme="majorHAnsi"/>
                <w:color w:val="auto"/>
                <w:sz w:val="22"/>
              </w:rPr>
              <w:t xml:space="preserve"> (Net</w:t>
            </w:r>
            <w:r w:rsidR="009308DD" w:rsidRPr="00730C0B">
              <w:rPr>
                <w:rFonts w:asciiTheme="majorHAnsi" w:hAnsiTheme="majorHAnsi"/>
                <w:color w:val="auto"/>
                <w:sz w:val="22"/>
              </w:rPr>
              <w:t>)</w:t>
            </w:r>
          </w:p>
        </w:tc>
        <w:tc>
          <w:tcPr>
            <w:tcW w:w="2693" w:type="dxa"/>
          </w:tcPr>
          <w:p w14:paraId="6D9403B7" w14:textId="6C441D9C" w:rsidR="00B92993" w:rsidRPr="00730C0B" w:rsidRDefault="00E21DEE" w:rsidP="006C1C08">
            <w:pPr>
              <w:spacing w:before="2" w:after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90% (Net) </w:t>
            </w:r>
          </w:p>
        </w:tc>
      </w:tr>
      <w:tr w:rsidR="00500FD5" w14:paraId="7BDEF5F6" w14:textId="77777777" w:rsidTr="00930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04F5BBF" w14:textId="3A96376D" w:rsidR="00B92993" w:rsidRPr="00730C0B" w:rsidRDefault="00B92993" w:rsidP="00F104A0">
            <w:pPr>
              <w:spacing w:beforeLines="1" w:before="2" w:afterLines="1" w:after="2"/>
              <w:rPr>
                <w:rFonts w:asciiTheme="majorHAnsi" w:hAnsiTheme="majorHAnsi" w:cs="Times New Roman"/>
                <w:color w:val="auto"/>
                <w:sz w:val="22"/>
              </w:rPr>
            </w:pPr>
            <w:r w:rsidRPr="00730C0B">
              <w:rPr>
                <w:rFonts w:asciiTheme="majorHAnsi" w:hAnsiTheme="majorHAnsi" w:cs="Times New Roman"/>
                <w:color w:val="auto"/>
                <w:sz w:val="22"/>
              </w:rPr>
              <w:t>Terms for termination of the agreement (incl</w:t>
            </w:r>
            <w:r w:rsidR="001A0718">
              <w:rPr>
                <w:rFonts w:asciiTheme="majorHAnsi" w:hAnsiTheme="majorHAnsi" w:cs="Times New Roman"/>
                <w:color w:val="auto"/>
                <w:sz w:val="22"/>
              </w:rPr>
              <w:t>uding</w:t>
            </w:r>
            <w:r w:rsidRPr="00730C0B">
              <w:rPr>
                <w:rFonts w:asciiTheme="majorHAnsi" w:hAnsiTheme="majorHAnsi" w:cs="Times New Roman"/>
                <w:color w:val="auto"/>
                <w:sz w:val="22"/>
              </w:rPr>
              <w:t xml:space="preserve"> costs to company) </w:t>
            </w:r>
          </w:p>
        </w:tc>
        <w:tc>
          <w:tcPr>
            <w:tcW w:w="2694" w:type="dxa"/>
          </w:tcPr>
          <w:p w14:paraId="7F7F5CB0" w14:textId="4DC67652" w:rsidR="00B92993" w:rsidRPr="00730C0B" w:rsidRDefault="00500FD5" w:rsidP="006C1C08">
            <w:pPr>
              <w:spacing w:before="2" w:after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Flexible</w:t>
            </w:r>
            <w:r w:rsidR="00E21DEE" w:rsidRPr="00730C0B">
              <w:rPr>
                <w:rFonts w:asciiTheme="majorHAnsi" w:hAnsiTheme="majorHAnsi"/>
                <w:color w:val="auto"/>
                <w:sz w:val="22"/>
              </w:rPr>
              <w:t xml:space="preserve"> (no terms) </w:t>
            </w:r>
          </w:p>
        </w:tc>
        <w:tc>
          <w:tcPr>
            <w:tcW w:w="3402" w:type="dxa"/>
          </w:tcPr>
          <w:p w14:paraId="5413D5E2" w14:textId="38DF00A1" w:rsidR="00B92993" w:rsidRPr="00730C0B" w:rsidRDefault="00E21DEE" w:rsidP="006C1C08">
            <w:pPr>
              <w:spacing w:before="2" w:after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5 year</w:t>
            </w:r>
            <w:r w:rsidR="00372F71">
              <w:rPr>
                <w:rFonts w:asciiTheme="majorHAnsi" w:hAnsiTheme="majorHAnsi"/>
                <w:color w:val="auto"/>
                <w:sz w:val="22"/>
              </w:rPr>
              <w:t>s,</w:t>
            </w: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="00372F71">
              <w:rPr>
                <w:rFonts w:asciiTheme="majorHAnsi" w:hAnsiTheme="majorHAnsi"/>
                <w:color w:val="auto"/>
                <w:sz w:val="22"/>
              </w:rPr>
              <w:t>g</w:t>
            </w: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ross </w:t>
            </w:r>
            <w:r w:rsidR="00372F71">
              <w:rPr>
                <w:rFonts w:asciiTheme="majorHAnsi" w:hAnsiTheme="majorHAnsi"/>
                <w:color w:val="auto"/>
                <w:sz w:val="22"/>
              </w:rPr>
              <w:t>n</w:t>
            </w: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egligence only </w:t>
            </w:r>
          </w:p>
        </w:tc>
        <w:tc>
          <w:tcPr>
            <w:tcW w:w="2693" w:type="dxa"/>
          </w:tcPr>
          <w:p w14:paraId="18011067" w14:textId="3BF740F6" w:rsidR="00B92993" w:rsidRPr="00730C0B" w:rsidRDefault="00E21DEE" w:rsidP="006C1C08">
            <w:pPr>
              <w:spacing w:before="2" w:after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5 year</w:t>
            </w:r>
            <w:r w:rsidR="00372F71">
              <w:rPr>
                <w:rFonts w:asciiTheme="majorHAnsi" w:hAnsiTheme="majorHAnsi"/>
                <w:color w:val="auto"/>
                <w:sz w:val="22"/>
              </w:rPr>
              <w:t>s,</w:t>
            </w: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="001A0718">
              <w:rPr>
                <w:rFonts w:asciiTheme="majorHAnsi" w:hAnsiTheme="majorHAnsi"/>
                <w:color w:val="auto"/>
                <w:sz w:val="22"/>
              </w:rPr>
              <w:t>g</w:t>
            </w: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ross </w:t>
            </w:r>
            <w:r w:rsidR="001A0718">
              <w:rPr>
                <w:rFonts w:asciiTheme="majorHAnsi" w:hAnsiTheme="majorHAnsi"/>
                <w:color w:val="auto"/>
                <w:sz w:val="22"/>
              </w:rPr>
              <w:t>n</w:t>
            </w: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egligence only </w:t>
            </w:r>
          </w:p>
        </w:tc>
      </w:tr>
      <w:tr w:rsidR="00500FD5" w14:paraId="1D760661" w14:textId="77777777" w:rsidTr="009308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38EE790" w14:textId="39066816" w:rsidR="00B92993" w:rsidRPr="00730C0B" w:rsidRDefault="00E21DEE" w:rsidP="00F86720">
            <w:pPr>
              <w:spacing w:before="2" w:after="2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Discount for </w:t>
            </w:r>
            <w:r w:rsidR="00372F71">
              <w:rPr>
                <w:rFonts w:asciiTheme="majorHAnsi" w:hAnsiTheme="majorHAnsi"/>
                <w:color w:val="auto"/>
                <w:sz w:val="22"/>
              </w:rPr>
              <w:t>s</w:t>
            </w:r>
            <w:r w:rsidR="001A0718">
              <w:rPr>
                <w:rFonts w:asciiTheme="majorHAnsi" w:hAnsiTheme="majorHAnsi"/>
                <w:color w:val="auto"/>
                <w:sz w:val="22"/>
              </w:rPr>
              <w:t>hareh</w:t>
            </w:r>
            <w:r w:rsidRPr="00730C0B">
              <w:rPr>
                <w:rFonts w:asciiTheme="majorHAnsi" w:hAnsiTheme="majorHAnsi"/>
                <w:color w:val="auto"/>
                <w:sz w:val="22"/>
              </w:rPr>
              <w:t>olders</w:t>
            </w:r>
            <w:r w:rsidR="00500FD5" w:rsidRPr="00730C0B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</w:p>
        </w:tc>
        <w:tc>
          <w:tcPr>
            <w:tcW w:w="2694" w:type="dxa"/>
          </w:tcPr>
          <w:p w14:paraId="5F6AF540" w14:textId="77777777" w:rsidR="00500FD5" w:rsidRPr="00730C0B" w:rsidRDefault="00E21DEE" w:rsidP="006C1C08">
            <w:pPr>
              <w:spacing w:before="2" w:after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Yes</w:t>
            </w:r>
            <w:r w:rsidR="00500FD5" w:rsidRPr="00730C0B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</w:p>
          <w:p w14:paraId="62021ECD" w14:textId="45D3EE22" w:rsidR="00500FD5" w:rsidRPr="00730C0B" w:rsidRDefault="00500FD5" w:rsidP="00500FD5">
            <w:pPr>
              <w:pStyle w:val="ListParagraph"/>
              <w:numPr>
                <w:ilvl w:val="0"/>
                <w:numId w:val="48"/>
              </w:numPr>
              <w:spacing w:before="2" w:after="2"/>
              <w:ind w:left="67" w:hanging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Annual dividends - $0</w:t>
            </w:r>
            <w:r w:rsidR="001A0718">
              <w:rPr>
                <w:rFonts w:asciiTheme="majorHAnsi" w:hAnsiTheme="majorHAnsi"/>
                <w:color w:val="auto"/>
                <w:sz w:val="22"/>
              </w:rPr>
              <w:t>.</w:t>
            </w: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01 </w:t>
            </w:r>
          </w:p>
          <w:p w14:paraId="3D838B5C" w14:textId="77777777" w:rsidR="00500FD5" w:rsidRPr="00730C0B" w:rsidRDefault="00500FD5" w:rsidP="00500FD5">
            <w:pPr>
              <w:pStyle w:val="ListParagraph"/>
              <w:numPr>
                <w:ilvl w:val="0"/>
                <w:numId w:val="48"/>
              </w:numPr>
              <w:spacing w:before="2" w:after="2"/>
              <w:ind w:left="67" w:hanging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Interim dividends – $0/DR</w:t>
            </w:r>
          </w:p>
          <w:p w14:paraId="0C564945" w14:textId="6E635588" w:rsidR="00500FD5" w:rsidRPr="00730C0B" w:rsidRDefault="00500FD5" w:rsidP="00500FD5">
            <w:pPr>
              <w:pStyle w:val="ListParagraph"/>
              <w:numPr>
                <w:ilvl w:val="0"/>
                <w:numId w:val="48"/>
              </w:numPr>
              <w:spacing w:before="2" w:after="2"/>
              <w:ind w:left="67" w:hanging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DSF – $0</w:t>
            </w:r>
            <w:r w:rsidR="001A0718">
              <w:rPr>
                <w:rFonts w:asciiTheme="majorHAnsi" w:hAnsiTheme="majorHAnsi"/>
                <w:color w:val="auto"/>
                <w:sz w:val="22"/>
              </w:rPr>
              <w:t>.</w:t>
            </w:r>
            <w:r w:rsidRPr="00730C0B">
              <w:rPr>
                <w:rFonts w:asciiTheme="majorHAnsi" w:hAnsiTheme="majorHAnsi"/>
                <w:color w:val="auto"/>
                <w:sz w:val="22"/>
              </w:rPr>
              <w:t>01/DR</w:t>
            </w:r>
          </w:p>
        </w:tc>
        <w:tc>
          <w:tcPr>
            <w:tcW w:w="3402" w:type="dxa"/>
          </w:tcPr>
          <w:p w14:paraId="3FB7ECEE" w14:textId="0E0935D0" w:rsidR="00500FD5" w:rsidRPr="00C518AF" w:rsidRDefault="00500FD5" w:rsidP="00500FD5">
            <w:pPr>
              <w:pStyle w:val="ListParagraph"/>
              <w:numPr>
                <w:ilvl w:val="1"/>
                <w:numId w:val="0"/>
              </w:numPr>
              <w:spacing w:before="2" w:after="2"/>
              <w:ind w:left="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1A0718">
              <w:rPr>
                <w:rFonts w:asciiTheme="majorHAnsi" w:hAnsiTheme="majorHAnsi"/>
                <w:color w:val="auto"/>
                <w:sz w:val="22"/>
              </w:rPr>
              <w:t>Yes</w:t>
            </w:r>
          </w:p>
          <w:p w14:paraId="1810F3AB" w14:textId="7B031134" w:rsidR="00500FD5" w:rsidRPr="001A0718" w:rsidRDefault="00500FD5" w:rsidP="00500FD5">
            <w:pPr>
              <w:pStyle w:val="ListParagraph"/>
              <w:numPr>
                <w:ilvl w:val="0"/>
                <w:numId w:val="48"/>
              </w:numPr>
              <w:spacing w:before="2" w:after="2"/>
              <w:ind w:left="67" w:hanging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1A0718">
              <w:rPr>
                <w:rFonts w:asciiTheme="majorHAnsi" w:hAnsiTheme="majorHAnsi"/>
                <w:color w:val="auto"/>
                <w:sz w:val="22"/>
              </w:rPr>
              <w:t>Annual dividends - $0/DR</w:t>
            </w:r>
          </w:p>
          <w:p w14:paraId="5D60B83B" w14:textId="77777777" w:rsidR="00500FD5" w:rsidRPr="001A0718" w:rsidRDefault="00500FD5" w:rsidP="00500FD5">
            <w:pPr>
              <w:pStyle w:val="ListParagraph"/>
              <w:numPr>
                <w:ilvl w:val="0"/>
                <w:numId w:val="48"/>
              </w:numPr>
              <w:spacing w:before="2" w:after="2"/>
              <w:ind w:left="67" w:hanging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1A0718">
              <w:rPr>
                <w:rFonts w:asciiTheme="majorHAnsi" w:hAnsiTheme="majorHAnsi"/>
                <w:color w:val="auto"/>
                <w:sz w:val="22"/>
              </w:rPr>
              <w:t>Interim dividends – $0/DR</w:t>
            </w:r>
          </w:p>
          <w:p w14:paraId="65459A41" w14:textId="0CAB9FB8" w:rsidR="00B92993" w:rsidRPr="00C518AF" w:rsidRDefault="00500FD5">
            <w:pPr>
              <w:pStyle w:val="ListParagraph"/>
              <w:numPr>
                <w:ilvl w:val="0"/>
                <w:numId w:val="48"/>
              </w:numPr>
              <w:spacing w:before="2" w:after="2"/>
              <w:ind w:left="67" w:hanging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518AF">
              <w:rPr>
                <w:rFonts w:asciiTheme="majorHAnsi" w:hAnsiTheme="majorHAnsi"/>
                <w:color w:val="auto"/>
                <w:sz w:val="22"/>
              </w:rPr>
              <w:t>DSF – $0/DR</w:t>
            </w:r>
          </w:p>
        </w:tc>
        <w:tc>
          <w:tcPr>
            <w:tcW w:w="2693" w:type="dxa"/>
          </w:tcPr>
          <w:p w14:paraId="3A3BA6AD" w14:textId="73D531AC" w:rsidR="00B92993" w:rsidRPr="00730C0B" w:rsidRDefault="00500FD5" w:rsidP="00500FD5">
            <w:pPr>
              <w:pStyle w:val="ListParagraph"/>
              <w:spacing w:before="2" w:after="2"/>
              <w:ind w:left="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FF0000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Yes (</w:t>
            </w:r>
            <w:r w:rsidR="00CD7BD4">
              <w:rPr>
                <w:rFonts w:asciiTheme="majorHAnsi" w:hAnsiTheme="majorHAnsi"/>
                <w:color w:val="auto"/>
                <w:sz w:val="22"/>
              </w:rPr>
              <w:t>n</w:t>
            </w: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o specific parameters are disclosed in the proposal) </w:t>
            </w:r>
          </w:p>
        </w:tc>
      </w:tr>
      <w:tr w:rsidR="00500FD5" w14:paraId="163270D1" w14:textId="77777777" w:rsidTr="00930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3DF6E4F" w14:textId="77777777" w:rsidR="00B92993" w:rsidRPr="00730C0B" w:rsidRDefault="00B92993" w:rsidP="00F104A0">
            <w:pPr>
              <w:spacing w:beforeLines="1" w:before="2" w:afterLines="1" w:after="2"/>
              <w:rPr>
                <w:rFonts w:asciiTheme="majorHAnsi" w:hAnsiTheme="majorHAnsi" w:cs="Times New Roman"/>
                <w:color w:val="auto"/>
                <w:sz w:val="22"/>
              </w:rPr>
            </w:pPr>
            <w:r w:rsidRPr="00730C0B">
              <w:rPr>
                <w:rFonts w:asciiTheme="majorHAnsi" w:hAnsiTheme="majorHAnsi" w:cs="Times New Roman"/>
                <w:bCs/>
                <w:color w:val="auto"/>
                <w:sz w:val="22"/>
              </w:rPr>
              <w:lastRenderedPageBreak/>
              <w:t xml:space="preserve">DR Fees: </w:t>
            </w:r>
          </w:p>
        </w:tc>
        <w:tc>
          <w:tcPr>
            <w:tcW w:w="2694" w:type="dxa"/>
          </w:tcPr>
          <w:p w14:paraId="7128B812" w14:textId="77777777" w:rsidR="00E84015" w:rsidRPr="00730C0B" w:rsidRDefault="00E84015" w:rsidP="00E84015">
            <w:pPr>
              <w:pStyle w:val="ListParagraph"/>
              <w:numPr>
                <w:ilvl w:val="0"/>
                <w:numId w:val="30"/>
              </w:numPr>
              <w:spacing w:before="0" w:after="0"/>
              <w:ind w:left="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Issuance and Cancellation Fees of up to $0.05 per DR</w:t>
            </w:r>
          </w:p>
          <w:p w14:paraId="422A8546" w14:textId="339BD9F5" w:rsidR="00E84015" w:rsidRPr="00730C0B" w:rsidRDefault="00E84015" w:rsidP="00E84015">
            <w:pPr>
              <w:pStyle w:val="ListParagraph"/>
              <w:numPr>
                <w:ilvl w:val="0"/>
                <w:numId w:val="30"/>
              </w:numPr>
              <w:spacing w:before="0" w:after="0"/>
              <w:ind w:left="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Dividend (Annual) Fees up to US$0.02 per DR</w:t>
            </w:r>
          </w:p>
          <w:p w14:paraId="48EA3517" w14:textId="011DC7F8" w:rsidR="00E84015" w:rsidRPr="00730C0B" w:rsidRDefault="00E84015" w:rsidP="00E84015">
            <w:pPr>
              <w:pStyle w:val="ListParagraph"/>
              <w:numPr>
                <w:ilvl w:val="0"/>
                <w:numId w:val="30"/>
              </w:numPr>
              <w:spacing w:before="0" w:after="0"/>
              <w:ind w:left="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Dividend (Interim) Fees</w:t>
            </w:r>
            <w:r w:rsidR="00E12A4E" w:rsidRPr="00730C0B">
              <w:rPr>
                <w:rFonts w:asciiTheme="majorHAnsi" w:hAnsiTheme="majorHAnsi"/>
                <w:color w:val="auto"/>
                <w:sz w:val="22"/>
              </w:rPr>
              <w:t xml:space="preserve"> up to US$0.01</w:t>
            </w: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 per DR</w:t>
            </w:r>
          </w:p>
          <w:p w14:paraId="74479648" w14:textId="77777777" w:rsidR="00E84015" w:rsidRPr="00730C0B" w:rsidRDefault="00E84015" w:rsidP="00E84015">
            <w:pPr>
              <w:pStyle w:val="ListParagraph"/>
              <w:numPr>
                <w:ilvl w:val="0"/>
                <w:numId w:val="30"/>
              </w:numPr>
              <w:spacing w:before="0" w:after="0"/>
              <w:ind w:left="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Depositary Service Fee (“DSF”) up to US$0.02 per DR</w:t>
            </w:r>
          </w:p>
          <w:p w14:paraId="0BCA5672" w14:textId="54DF89A5" w:rsidR="00E84015" w:rsidRPr="00730C0B" w:rsidRDefault="00E84015" w:rsidP="00E84015">
            <w:pPr>
              <w:pStyle w:val="ListParagraph"/>
              <w:numPr>
                <w:ilvl w:val="0"/>
                <w:numId w:val="30"/>
              </w:numPr>
              <w:spacing w:before="0" w:after="0"/>
              <w:ind w:left="6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Tax Reclamation Fee up to $0</w:t>
            </w:r>
            <w:r w:rsidR="00CD7BD4">
              <w:rPr>
                <w:rFonts w:asciiTheme="majorHAnsi" w:hAnsiTheme="majorHAnsi"/>
                <w:color w:val="auto"/>
                <w:sz w:val="22"/>
              </w:rPr>
              <w:t>.</w:t>
            </w:r>
            <w:r w:rsidRPr="00730C0B">
              <w:rPr>
                <w:rFonts w:asciiTheme="majorHAnsi" w:hAnsiTheme="majorHAnsi"/>
                <w:color w:val="auto"/>
                <w:sz w:val="22"/>
              </w:rPr>
              <w:t>005 per DR</w:t>
            </w:r>
          </w:p>
          <w:p w14:paraId="3D97B9F2" w14:textId="77777777" w:rsidR="00B92993" w:rsidRPr="00730C0B" w:rsidRDefault="00B92993" w:rsidP="006C1C08">
            <w:pPr>
              <w:spacing w:before="2" w:after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3402" w:type="dxa"/>
          </w:tcPr>
          <w:p w14:paraId="7D056D68" w14:textId="77777777" w:rsidR="00E84015" w:rsidRPr="00730C0B" w:rsidRDefault="00E84015" w:rsidP="00E12A4E">
            <w:pPr>
              <w:pStyle w:val="ListParagraph"/>
              <w:numPr>
                <w:ilvl w:val="0"/>
                <w:numId w:val="30"/>
              </w:numPr>
              <w:spacing w:before="0" w:after="0"/>
              <w:ind w:left="209" w:hanging="2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Issuance and Cancellation Fees of up to $0.05 per DR</w:t>
            </w:r>
          </w:p>
          <w:p w14:paraId="28443EBE" w14:textId="77777777" w:rsidR="00E12A4E" w:rsidRPr="00730C0B" w:rsidRDefault="00E84015" w:rsidP="00E12A4E">
            <w:pPr>
              <w:pStyle w:val="ListParagraph"/>
              <w:numPr>
                <w:ilvl w:val="0"/>
                <w:numId w:val="30"/>
              </w:numPr>
              <w:spacing w:before="0" w:after="0"/>
              <w:ind w:left="209" w:hanging="2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Dividend </w:t>
            </w:r>
            <w:r w:rsidR="00E12A4E" w:rsidRPr="00730C0B">
              <w:rPr>
                <w:rFonts w:asciiTheme="majorHAnsi" w:hAnsiTheme="majorHAnsi"/>
                <w:color w:val="auto"/>
                <w:sz w:val="22"/>
              </w:rPr>
              <w:t xml:space="preserve">(Annual) Fees </w:t>
            </w:r>
            <w:r w:rsidRPr="00730C0B">
              <w:rPr>
                <w:rFonts w:asciiTheme="majorHAnsi" w:hAnsiTheme="majorHAnsi"/>
                <w:color w:val="auto"/>
                <w:sz w:val="22"/>
              </w:rPr>
              <w:t>of up to US$0.02 per DR</w:t>
            </w:r>
          </w:p>
          <w:p w14:paraId="6A84AD1F" w14:textId="65CC18AE" w:rsidR="00E12A4E" w:rsidRPr="00730C0B" w:rsidRDefault="00E12A4E" w:rsidP="00E12A4E">
            <w:pPr>
              <w:pStyle w:val="ListParagraph"/>
              <w:numPr>
                <w:ilvl w:val="0"/>
                <w:numId w:val="30"/>
              </w:numPr>
              <w:spacing w:before="0" w:after="0"/>
              <w:ind w:left="209" w:hanging="2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Dividend (Interim) Fees up to US$0.01 per DR</w:t>
            </w:r>
          </w:p>
          <w:p w14:paraId="3131C280" w14:textId="77777777" w:rsidR="00E84015" w:rsidRPr="00730C0B" w:rsidRDefault="00E84015" w:rsidP="00E12A4E">
            <w:pPr>
              <w:pStyle w:val="ListParagraph"/>
              <w:numPr>
                <w:ilvl w:val="0"/>
                <w:numId w:val="30"/>
              </w:numPr>
              <w:spacing w:before="0" w:after="0"/>
              <w:ind w:left="209" w:hanging="2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Depositary Service Fee (“DSF”) up to US$0.02 per DR</w:t>
            </w:r>
          </w:p>
          <w:p w14:paraId="5CFF7D2B" w14:textId="1EB06A04" w:rsidR="00E84015" w:rsidRPr="00730C0B" w:rsidRDefault="00E84015" w:rsidP="00E12A4E">
            <w:pPr>
              <w:pStyle w:val="ListParagraph"/>
              <w:numPr>
                <w:ilvl w:val="0"/>
                <w:numId w:val="30"/>
              </w:numPr>
              <w:spacing w:before="0" w:after="0"/>
              <w:ind w:left="209" w:hanging="2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Register Inspection Fee up to $0</w:t>
            </w:r>
            <w:r w:rsidR="00CD7BD4">
              <w:rPr>
                <w:rFonts w:asciiTheme="majorHAnsi" w:hAnsiTheme="majorHAnsi"/>
                <w:color w:val="auto"/>
                <w:sz w:val="22"/>
              </w:rPr>
              <w:t>.</w:t>
            </w:r>
            <w:r w:rsidRPr="00730C0B">
              <w:rPr>
                <w:rFonts w:asciiTheme="majorHAnsi" w:hAnsiTheme="majorHAnsi"/>
                <w:color w:val="auto"/>
                <w:sz w:val="22"/>
              </w:rPr>
              <w:t>01 per DR</w:t>
            </w:r>
          </w:p>
          <w:p w14:paraId="5071BE33" w14:textId="70DFE495" w:rsidR="00E84015" w:rsidRPr="00730C0B" w:rsidRDefault="00E84015" w:rsidP="00E12A4E">
            <w:pPr>
              <w:pStyle w:val="ListParagraph"/>
              <w:numPr>
                <w:ilvl w:val="0"/>
                <w:numId w:val="30"/>
              </w:numPr>
              <w:spacing w:before="0" w:after="0"/>
              <w:ind w:left="209" w:hanging="2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Tax Reclamation Fee up to $0</w:t>
            </w:r>
            <w:r w:rsidR="00CD7BD4">
              <w:rPr>
                <w:rFonts w:asciiTheme="majorHAnsi" w:hAnsiTheme="majorHAnsi"/>
                <w:color w:val="auto"/>
                <w:sz w:val="22"/>
              </w:rPr>
              <w:t>.</w:t>
            </w:r>
            <w:r w:rsidRPr="00730C0B">
              <w:rPr>
                <w:rFonts w:asciiTheme="majorHAnsi" w:hAnsiTheme="majorHAnsi"/>
                <w:color w:val="auto"/>
                <w:sz w:val="22"/>
              </w:rPr>
              <w:t>005 per DR</w:t>
            </w:r>
          </w:p>
          <w:p w14:paraId="423F4044" w14:textId="77777777" w:rsidR="00E12A4E" w:rsidRPr="00730C0B" w:rsidRDefault="00E12A4E" w:rsidP="006C1C08">
            <w:pPr>
              <w:spacing w:before="2" w:after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22"/>
              </w:rPr>
            </w:pPr>
          </w:p>
          <w:p w14:paraId="00C54C50" w14:textId="58510CC2" w:rsidR="00B92993" w:rsidRPr="00730C0B" w:rsidRDefault="00E12A4E" w:rsidP="006C1C08">
            <w:pPr>
              <w:spacing w:before="2" w:after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Note: DB has a historical tendency to charge RFP of $0</w:t>
            </w:r>
            <w:r w:rsidR="00CD7BD4">
              <w:rPr>
                <w:rFonts w:asciiTheme="majorHAnsi" w:hAnsiTheme="majorHAnsi"/>
                <w:color w:val="auto"/>
                <w:sz w:val="22"/>
              </w:rPr>
              <w:t>.</w:t>
            </w: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01 per year. </w:t>
            </w:r>
          </w:p>
        </w:tc>
        <w:tc>
          <w:tcPr>
            <w:tcW w:w="2693" w:type="dxa"/>
          </w:tcPr>
          <w:p w14:paraId="369A93BA" w14:textId="77777777" w:rsidR="00E84015" w:rsidRPr="00730C0B" w:rsidRDefault="00E84015" w:rsidP="00E12A4E">
            <w:pPr>
              <w:pStyle w:val="ListParagraph"/>
              <w:numPr>
                <w:ilvl w:val="0"/>
                <w:numId w:val="30"/>
              </w:numPr>
              <w:spacing w:before="0" w:after="0"/>
              <w:ind w:left="209" w:hanging="2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Issuance and Cancellation Fees of up to $0.05 per DR</w:t>
            </w:r>
          </w:p>
          <w:p w14:paraId="6322214F" w14:textId="3DB31E9A" w:rsidR="00E84015" w:rsidRPr="00730C0B" w:rsidRDefault="00E12A4E" w:rsidP="00E12A4E">
            <w:pPr>
              <w:pStyle w:val="ListParagraph"/>
              <w:numPr>
                <w:ilvl w:val="0"/>
                <w:numId w:val="30"/>
              </w:numPr>
              <w:spacing w:before="0" w:after="0"/>
              <w:ind w:left="209" w:hanging="2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Dividend (Annual) Fee – Unclear </w:t>
            </w:r>
          </w:p>
          <w:p w14:paraId="2F64AC44" w14:textId="04803DDD" w:rsidR="00E84015" w:rsidRPr="00730C0B" w:rsidRDefault="00E84015" w:rsidP="00E12A4E">
            <w:pPr>
              <w:pStyle w:val="ListParagraph"/>
              <w:numPr>
                <w:ilvl w:val="0"/>
                <w:numId w:val="30"/>
              </w:numPr>
              <w:spacing w:before="0" w:after="0"/>
              <w:ind w:left="209" w:hanging="2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Depositary Service Fee (“DSF”)</w:t>
            </w:r>
            <w:r w:rsidR="00E12A4E" w:rsidRPr="00730C0B">
              <w:rPr>
                <w:rFonts w:asciiTheme="majorHAnsi" w:hAnsiTheme="majorHAnsi"/>
                <w:color w:val="auto"/>
                <w:sz w:val="22"/>
              </w:rPr>
              <w:t xml:space="preserve"> -</w:t>
            </w: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="00E12A4E" w:rsidRPr="00730C0B">
              <w:rPr>
                <w:rFonts w:asciiTheme="majorHAnsi" w:hAnsiTheme="majorHAnsi"/>
                <w:color w:val="auto"/>
                <w:sz w:val="22"/>
              </w:rPr>
              <w:t xml:space="preserve">Unclear </w:t>
            </w:r>
          </w:p>
          <w:p w14:paraId="44317B01" w14:textId="2165B54A" w:rsidR="00E84015" w:rsidRPr="00730C0B" w:rsidRDefault="00E84015" w:rsidP="00E12A4E">
            <w:pPr>
              <w:pStyle w:val="ListParagraph"/>
              <w:numPr>
                <w:ilvl w:val="0"/>
                <w:numId w:val="30"/>
              </w:numPr>
              <w:spacing w:before="0" w:after="0"/>
              <w:ind w:left="209" w:hanging="2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Register Inspection Fee up </w:t>
            </w:r>
            <w:r w:rsidR="00E12A4E" w:rsidRPr="00730C0B">
              <w:rPr>
                <w:rFonts w:asciiTheme="majorHAnsi" w:hAnsiTheme="majorHAnsi"/>
                <w:color w:val="auto"/>
                <w:sz w:val="22"/>
              </w:rPr>
              <w:t xml:space="preserve">– Unclear </w:t>
            </w:r>
          </w:p>
          <w:p w14:paraId="3948A816" w14:textId="57C1CCAF" w:rsidR="00E84015" w:rsidRPr="00730C0B" w:rsidRDefault="00E84015" w:rsidP="00E12A4E">
            <w:pPr>
              <w:pStyle w:val="ListParagraph"/>
              <w:numPr>
                <w:ilvl w:val="0"/>
                <w:numId w:val="30"/>
              </w:numPr>
              <w:spacing w:before="0" w:after="0"/>
              <w:ind w:left="209" w:hanging="2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Tax Rec</w:t>
            </w:r>
            <w:r w:rsidR="00E12A4E" w:rsidRPr="00730C0B">
              <w:rPr>
                <w:rFonts w:asciiTheme="majorHAnsi" w:hAnsiTheme="majorHAnsi"/>
                <w:color w:val="auto"/>
                <w:sz w:val="22"/>
              </w:rPr>
              <w:t xml:space="preserve">lamation Fee – Unclear </w:t>
            </w:r>
          </w:p>
          <w:p w14:paraId="2C0D52E9" w14:textId="77777777" w:rsidR="00B92993" w:rsidRPr="00730C0B" w:rsidRDefault="00B92993" w:rsidP="006C1C08">
            <w:pPr>
              <w:spacing w:before="2" w:after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22"/>
              </w:rPr>
            </w:pPr>
          </w:p>
        </w:tc>
      </w:tr>
      <w:tr w:rsidR="00500FD5" w14:paraId="0F085E63" w14:textId="77777777" w:rsidTr="009308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81EBB6F" w14:textId="0E9613FC" w:rsidR="00B92993" w:rsidRPr="00730C0B" w:rsidRDefault="009308DD" w:rsidP="00F104A0">
            <w:pPr>
              <w:spacing w:beforeLines="1" w:before="2" w:afterLines="1" w:after="2"/>
              <w:rPr>
                <w:rFonts w:asciiTheme="majorHAnsi" w:hAnsiTheme="majorHAnsi" w:cs="Times New Roman"/>
                <w:color w:val="auto"/>
                <w:sz w:val="22"/>
              </w:rPr>
            </w:pPr>
            <w:r w:rsidRPr="00730C0B">
              <w:rPr>
                <w:rFonts w:asciiTheme="majorHAnsi" w:hAnsiTheme="majorHAnsi" w:cs="Times New Roman"/>
                <w:color w:val="auto"/>
                <w:sz w:val="22"/>
              </w:rPr>
              <w:t xml:space="preserve">Additional IR budget </w:t>
            </w:r>
          </w:p>
          <w:p w14:paraId="3E0967AE" w14:textId="77777777" w:rsidR="00B92993" w:rsidRPr="00730C0B" w:rsidRDefault="00B92993" w:rsidP="006C1C08">
            <w:pPr>
              <w:spacing w:before="2" w:after="2"/>
              <w:rPr>
                <w:rFonts w:asciiTheme="majorHAnsi" w:hAnsiTheme="majorHAnsi"/>
                <w:color w:val="auto"/>
                <w:sz w:val="22"/>
              </w:rPr>
            </w:pPr>
          </w:p>
        </w:tc>
        <w:tc>
          <w:tcPr>
            <w:tcW w:w="2694" w:type="dxa"/>
          </w:tcPr>
          <w:p w14:paraId="09DB51F2" w14:textId="7AB9EAF9" w:rsidR="00B92993" w:rsidRPr="00730C0B" w:rsidRDefault="009308DD" w:rsidP="006C1C08">
            <w:pPr>
              <w:spacing w:before="2" w:after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No </w:t>
            </w:r>
          </w:p>
        </w:tc>
        <w:tc>
          <w:tcPr>
            <w:tcW w:w="3402" w:type="dxa"/>
          </w:tcPr>
          <w:p w14:paraId="3DE376E6" w14:textId="524B17D4" w:rsidR="00B92993" w:rsidRPr="00730C0B" w:rsidRDefault="009308DD" w:rsidP="006C1C08">
            <w:pPr>
              <w:spacing w:before="2" w:after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Yes, $100,000/year </w:t>
            </w:r>
          </w:p>
        </w:tc>
        <w:tc>
          <w:tcPr>
            <w:tcW w:w="2693" w:type="dxa"/>
          </w:tcPr>
          <w:p w14:paraId="5A55220E" w14:textId="00BE81D7" w:rsidR="00B92993" w:rsidRPr="00730C0B" w:rsidRDefault="009308DD" w:rsidP="006C1C08">
            <w:pPr>
              <w:spacing w:before="2" w:after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No</w:t>
            </w:r>
          </w:p>
        </w:tc>
      </w:tr>
      <w:tr w:rsidR="00500FD5" w14:paraId="3BB21D9E" w14:textId="77777777" w:rsidTr="00930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F19B3A3" w14:textId="77777777" w:rsidR="00B92993" w:rsidRPr="00730C0B" w:rsidRDefault="00B92993" w:rsidP="00F104A0">
            <w:pPr>
              <w:spacing w:beforeLines="1" w:before="2" w:afterLines="1" w:after="2"/>
              <w:rPr>
                <w:rFonts w:asciiTheme="majorHAnsi" w:hAnsiTheme="majorHAnsi" w:cs="Times New Roman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Ongoing services and costs waived</w:t>
            </w:r>
          </w:p>
        </w:tc>
        <w:tc>
          <w:tcPr>
            <w:tcW w:w="2694" w:type="dxa"/>
          </w:tcPr>
          <w:p w14:paraId="280D4C7B" w14:textId="60BF8129" w:rsidR="009308DD" w:rsidRPr="00730C0B" w:rsidRDefault="009308DD" w:rsidP="006C1C08">
            <w:pPr>
              <w:spacing w:before="2" w:after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Yes, Proxy &amp; IR</w:t>
            </w:r>
            <w:r w:rsidRPr="00730C0B">
              <w:rPr>
                <w:rFonts w:asciiTheme="majorHAnsi" w:hAnsiTheme="majorHAnsi"/>
                <w:color w:val="FF0000"/>
                <w:sz w:val="22"/>
              </w:rPr>
              <w:t xml:space="preserve"> </w:t>
            </w:r>
          </w:p>
        </w:tc>
        <w:tc>
          <w:tcPr>
            <w:tcW w:w="3402" w:type="dxa"/>
          </w:tcPr>
          <w:p w14:paraId="213BE37A" w14:textId="5E226184" w:rsidR="00B92993" w:rsidRPr="00730C0B" w:rsidRDefault="009308DD" w:rsidP="006C1C08">
            <w:pPr>
              <w:spacing w:before="2" w:after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Yes, Proxy &amp; IR</w:t>
            </w:r>
          </w:p>
        </w:tc>
        <w:tc>
          <w:tcPr>
            <w:tcW w:w="2693" w:type="dxa"/>
          </w:tcPr>
          <w:p w14:paraId="11927C2A" w14:textId="2DD75674" w:rsidR="00B92993" w:rsidRPr="00730C0B" w:rsidRDefault="009308DD" w:rsidP="006C1C08">
            <w:pPr>
              <w:spacing w:before="2" w:after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Not disclosed </w:t>
            </w:r>
          </w:p>
        </w:tc>
      </w:tr>
      <w:tr w:rsidR="009308DD" w14:paraId="64B39F3D" w14:textId="77777777" w:rsidTr="009308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E4B8EE0" w14:textId="053AB445" w:rsidR="009308DD" w:rsidRPr="00730C0B" w:rsidRDefault="009308DD" w:rsidP="00F104A0">
            <w:pPr>
              <w:spacing w:beforeLines="1" w:before="2" w:afterLines="1" w:after="2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Proxy Services </w:t>
            </w:r>
          </w:p>
        </w:tc>
        <w:tc>
          <w:tcPr>
            <w:tcW w:w="2694" w:type="dxa"/>
          </w:tcPr>
          <w:p w14:paraId="73B4F18D" w14:textId="059B893F" w:rsidR="009308DD" w:rsidRPr="00730C0B" w:rsidRDefault="009308DD" w:rsidP="006C1C08">
            <w:pPr>
              <w:spacing w:before="2" w:after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>Yes, internal proxy solicitation.</w:t>
            </w:r>
            <w:r w:rsidR="00F822B4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 Large experience in contested proxy battles. </w:t>
            </w:r>
          </w:p>
        </w:tc>
        <w:tc>
          <w:tcPr>
            <w:tcW w:w="3402" w:type="dxa"/>
          </w:tcPr>
          <w:p w14:paraId="7FA3A7AE" w14:textId="3AECE910" w:rsidR="009308DD" w:rsidRPr="00730C0B" w:rsidRDefault="009308DD" w:rsidP="009308DD">
            <w:pPr>
              <w:spacing w:before="2" w:after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Yes, limited experience in proxy contested battles. </w:t>
            </w:r>
            <w:r w:rsidR="00F822B4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Pr="00730C0B">
              <w:rPr>
                <w:rFonts w:asciiTheme="majorHAnsi" w:hAnsiTheme="majorHAnsi"/>
                <w:color w:val="auto"/>
                <w:sz w:val="22"/>
              </w:rPr>
              <w:t>DB does NOT offer internal proxy solicitation series</w:t>
            </w:r>
            <w:r w:rsidR="009E46D5">
              <w:rPr>
                <w:rFonts w:asciiTheme="majorHAnsi" w:hAnsiTheme="majorHAnsi"/>
                <w:color w:val="auto"/>
                <w:sz w:val="22"/>
              </w:rPr>
              <w:t>.</w:t>
            </w: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</w:p>
        </w:tc>
        <w:tc>
          <w:tcPr>
            <w:tcW w:w="2693" w:type="dxa"/>
          </w:tcPr>
          <w:p w14:paraId="4464A8FC" w14:textId="6AB664B7" w:rsidR="009308DD" w:rsidRPr="00730C0B" w:rsidRDefault="009308DD" w:rsidP="006C1C08">
            <w:pPr>
              <w:spacing w:before="2" w:after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Yes, not disclosed in the proposal </w:t>
            </w:r>
          </w:p>
        </w:tc>
      </w:tr>
      <w:tr w:rsidR="009308DD" w14:paraId="55575841" w14:textId="77777777" w:rsidTr="00930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D82DB77" w14:textId="38634638" w:rsidR="009308DD" w:rsidRDefault="009308DD" w:rsidP="009308DD">
            <w:pPr>
              <w:spacing w:beforeLines="1" w:before="2" w:afterLines="1" w:after="2"/>
              <w:rPr>
                <w:rFonts w:ascii="Cambria" w:hAnsi="Cambria"/>
                <w:color w:val="auto"/>
                <w:szCs w:val="24"/>
              </w:rPr>
            </w:pPr>
            <w:r>
              <w:rPr>
                <w:rFonts w:ascii="Cambria" w:hAnsi="Cambria"/>
                <w:color w:val="auto"/>
                <w:szCs w:val="24"/>
              </w:rPr>
              <w:t xml:space="preserve"> Number of Russian</w:t>
            </w:r>
            <w:r w:rsidR="009E46D5">
              <w:rPr>
                <w:rFonts w:ascii="Cambria" w:hAnsi="Cambria"/>
                <w:color w:val="auto"/>
                <w:szCs w:val="24"/>
              </w:rPr>
              <w:t>-</w:t>
            </w:r>
            <w:r>
              <w:rPr>
                <w:rFonts w:ascii="Cambria" w:hAnsi="Cambria"/>
                <w:color w:val="auto"/>
                <w:szCs w:val="24"/>
              </w:rPr>
              <w:t xml:space="preserve">speaking DR specialists </w:t>
            </w:r>
          </w:p>
        </w:tc>
        <w:tc>
          <w:tcPr>
            <w:tcW w:w="2694" w:type="dxa"/>
          </w:tcPr>
          <w:p w14:paraId="702A171B" w14:textId="07F9B3D2" w:rsidR="009308DD" w:rsidRPr="00730C0B" w:rsidRDefault="002B2B72" w:rsidP="006C1C08">
            <w:pPr>
              <w:spacing w:before="2" w:after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10 people </w:t>
            </w:r>
          </w:p>
        </w:tc>
        <w:tc>
          <w:tcPr>
            <w:tcW w:w="3402" w:type="dxa"/>
          </w:tcPr>
          <w:p w14:paraId="19C54D77" w14:textId="39453413" w:rsidR="009308DD" w:rsidRPr="00730C0B" w:rsidRDefault="002B2B72" w:rsidP="009308DD">
            <w:pPr>
              <w:spacing w:before="2" w:after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4 people </w:t>
            </w:r>
          </w:p>
        </w:tc>
        <w:tc>
          <w:tcPr>
            <w:tcW w:w="2693" w:type="dxa"/>
          </w:tcPr>
          <w:p w14:paraId="41397C03" w14:textId="09E627C4" w:rsidR="009308DD" w:rsidRPr="00730C0B" w:rsidRDefault="002B2B72" w:rsidP="006C1C08">
            <w:pPr>
              <w:spacing w:before="2" w:after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Unclear </w:t>
            </w:r>
          </w:p>
        </w:tc>
      </w:tr>
      <w:tr w:rsidR="00500FD5" w14:paraId="2D83D17A" w14:textId="77777777" w:rsidTr="009308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B26FF61" w14:textId="77777777" w:rsidR="00B92993" w:rsidRPr="00A151D5" w:rsidRDefault="00B92993" w:rsidP="00F104A0">
            <w:pPr>
              <w:spacing w:beforeLines="1" w:before="2" w:afterLines="1" w:after="2"/>
              <w:rPr>
                <w:rFonts w:ascii="Cambria" w:hAnsi="Cambria" w:cs="Times New Roman"/>
                <w:color w:val="auto"/>
                <w:szCs w:val="24"/>
              </w:rPr>
            </w:pPr>
            <w:r w:rsidRPr="00A151D5">
              <w:rPr>
                <w:rFonts w:ascii="Cambria" w:hAnsi="Cambria" w:cs="Times New Roman"/>
                <w:color w:val="auto"/>
                <w:szCs w:val="24"/>
              </w:rPr>
              <w:t xml:space="preserve">Credentials </w:t>
            </w:r>
          </w:p>
        </w:tc>
        <w:tc>
          <w:tcPr>
            <w:tcW w:w="2694" w:type="dxa"/>
          </w:tcPr>
          <w:p w14:paraId="622002EE" w14:textId="3C9A18F2" w:rsidR="00B92993" w:rsidRPr="00730C0B" w:rsidRDefault="004E1ACA" w:rsidP="006C1C08">
            <w:pPr>
              <w:spacing w:before="2" w:after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730C0B">
              <w:rPr>
                <w:rFonts w:asciiTheme="majorHAnsi" w:hAnsiTheme="majorHAnsi"/>
                <w:color w:val="auto"/>
                <w:sz w:val="22"/>
              </w:rPr>
              <w:t xml:space="preserve">Gazprom, Lukoil, Surgutneftegas, Sberbank, VTB, </w:t>
            </w:r>
            <w:r w:rsidR="00281675" w:rsidRPr="00730C0B">
              <w:rPr>
                <w:rFonts w:asciiTheme="majorHAnsi" w:hAnsiTheme="majorHAnsi"/>
                <w:color w:val="auto"/>
                <w:sz w:val="22"/>
              </w:rPr>
              <w:t>MMK</w:t>
            </w:r>
          </w:p>
        </w:tc>
        <w:tc>
          <w:tcPr>
            <w:tcW w:w="3402" w:type="dxa"/>
          </w:tcPr>
          <w:p w14:paraId="011D4460" w14:textId="77777777" w:rsidR="00B92993" w:rsidRPr="00730C0B" w:rsidRDefault="00B92993" w:rsidP="006C1C08">
            <w:pPr>
              <w:spacing w:before="2" w:after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2693" w:type="dxa"/>
          </w:tcPr>
          <w:p w14:paraId="5AD4B72B" w14:textId="77777777" w:rsidR="00B92993" w:rsidRPr="00730C0B" w:rsidRDefault="00B92993" w:rsidP="006C1C08">
            <w:pPr>
              <w:spacing w:before="2" w:after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FF0000"/>
                <w:sz w:val="22"/>
              </w:rPr>
            </w:pPr>
          </w:p>
        </w:tc>
      </w:tr>
    </w:tbl>
    <w:p w14:paraId="14F5A2FC" w14:textId="77777777" w:rsidR="00FD24A2" w:rsidRPr="00EC3104" w:rsidRDefault="00FD24A2" w:rsidP="00407A2A">
      <w:pPr>
        <w:rPr>
          <w:color w:val="FF0000"/>
        </w:rPr>
      </w:pPr>
      <w:r w:rsidRPr="00EC3104">
        <w:rPr>
          <w:color w:val="FF0000"/>
        </w:rPr>
        <w:br w:type="page"/>
      </w:r>
    </w:p>
    <w:p w14:paraId="2E7A694D" w14:textId="77777777" w:rsidR="00DE7E3A" w:rsidRPr="00DE7E3A" w:rsidRDefault="00DE7E3A" w:rsidP="00DE7E3A">
      <w:pPr>
        <w:spacing w:before="0" w:after="0"/>
        <w:jc w:val="both"/>
        <w:rPr>
          <w:rFonts w:ascii="Cambria" w:eastAsiaTheme="majorEastAsia" w:hAnsi="Cambria" w:cstheme="majorBidi"/>
          <w:b/>
          <w:bCs/>
          <w:smallCaps/>
          <w:color w:val="ED1C24"/>
          <w:sz w:val="18"/>
          <w:szCs w:val="18"/>
        </w:rPr>
      </w:pPr>
    </w:p>
    <w:bookmarkEnd w:id="0"/>
    <w:bookmarkEnd w:id="1"/>
    <w:bookmarkEnd w:id="2"/>
    <w:bookmarkEnd w:id="9"/>
    <w:bookmarkEnd w:id="10"/>
    <w:p w14:paraId="29267AF4" w14:textId="77777777" w:rsidR="00435899" w:rsidRPr="006E6FE3" w:rsidRDefault="00435899" w:rsidP="006E6FE3">
      <w:pPr>
        <w:spacing w:before="0" w:after="0"/>
        <w:rPr>
          <w:rFonts w:ascii="Cambria" w:eastAsiaTheme="majorEastAsia" w:hAnsi="Cambria" w:cstheme="majorBidi"/>
          <w:b/>
          <w:bCs/>
          <w:color w:val="ED1C24"/>
          <w:sz w:val="40"/>
          <w:szCs w:val="40"/>
        </w:rPr>
      </w:pPr>
    </w:p>
    <w:p w14:paraId="44479D29" w14:textId="77777777" w:rsidR="00E62C94" w:rsidRDefault="00F94F44">
      <w:pPr>
        <w:pStyle w:val="Heading1"/>
      </w:pPr>
      <w:bookmarkStart w:id="16" w:name="_Toc339298150"/>
      <w:bookmarkStart w:id="17" w:name="_Toc339313947"/>
      <w:bookmarkStart w:id="18" w:name="_Toc241974687"/>
      <w:bookmarkStart w:id="19" w:name="_Toc378334993"/>
      <w:r>
        <w:rPr>
          <w:noProof/>
        </w:rPr>
        <w:drawing>
          <wp:anchor distT="0" distB="0" distL="114300" distR="114300" simplePos="0" relativeHeight="252042240" behindDoc="0" locked="0" layoutInCell="1" allowOverlap="1" wp14:anchorId="4E49FA36" wp14:editId="0710B8D2">
            <wp:simplePos x="0" y="0"/>
            <wp:positionH relativeFrom="column">
              <wp:posOffset>-596900</wp:posOffset>
            </wp:positionH>
            <wp:positionV relativeFrom="paragraph">
              <wp:posOffset>-640080</wp:posOffset>
            </wp:positionV>
            <wp:extent cx="7748270" cy="10052050"/>
            <wp:effectExtent l="0" t="0" r="5080" b="635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cs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270" cy="1005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969" w:rsidRPr="009D5969">
        <w:t>Appendices</w:t>
      </w:r>
      <w:bookmarkEnd w:id="16"/>
      <w:bookmarkEnd w:id="17"/>
      <w:bookmarkEnd w:id="18"/>
      <w:bookmarkEnd w:id="19"/>
    </w:p>
    <w:p w14:paraId="0A65026B" w14:textId="77777777" w:rsidR="00E62C94" w:rsidRDefault="00F104A0">
      <w:pPr>
        <w:spacing w:before="0" w:after="0"/>
        <w:rPr>
          <w:rFonts w:eastAsiaTheme="majorEastAsia" w:cstheme="majorBidi"/>
          <w:b/>
          <w:bCs/>
          <w:caps/>
          <w:color w:val="0D0D0D" w:themeColor="text1" w:themeTint="F2"/>
          <w:sz w:val="8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278F038B" wp14:editId="3487A844">
                <wp:simplePos x="0" y="0"/>
                <wp:positionH relativeFrom="column">
                  <wp:posOffset>2308225</wp:posOffset>
                </wp:positionH>
                <wp:positionV relativeFrom="paragraph">
                  <wp:posOffset>1624330</wp:posOffset>
                </wp:positionV>
                <wp:extent cx="4146550" cy="2916555"/>
                <wp:effectExtent l="0" t="0" r="0" b="444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6550" cy="291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CD28F" w14:textId="77777777" w:rsidR="00A22AF3" w:rsidRPr="009B5F39" w:rsidRDefault="00A22AF3" w:rsidP="00D22D3D">
                            <w:pPr>
                              <w:pStyle w:val="Titelpage1"/>
                              <w:rPr>
                                <w:color w:val="ED1C24"/>
                              </w:rPr>
                            </w:pPr>
                            <w:r w:rsidRPr="009B5F39">
                              <w:rPr>
                                <w:color w:val="ED1C24"/>
                              </w:rPr>
                              <w:t>APPENDICES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81.75pt;margin-top:127.9pt;width:326.5pt;height:229.6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" filled="f" stroked="f" strokeweight="2pt">
                <v:path arrowok="t"/>
                <v:textbox>
                  <w:txbxContent>
                    <w:p w14:paraId="63ECD28F" w14:textId="77777777" w:rsidR="00A22AF3" w:rsidRPr="009B5F39" w:rsidRDefault="00A22AF3" w:rsidP="00D22D3D">
                      <w:pPr>
                        <w:pStyle w:val="Titelpage1"/>
                        <w:rPr>
                          <w:color w:val="ED1C24"/>
                        </w:rPr>
                      </w:pPr>
                      <w:r w:rsidRPr="009B5F39">
                        <w:rPr>
                          <w:color w:val="ED1C24"/>
                        </w:rPr>
                        <w:t>APPENDICES</w:t>
                      </w:r>
                    </w:p>
                  </w:txbxContent>
                </v:textbox>
              </v:rect>
            </w:pict>
          </mc:Fallback>
        </mc:AlternateContent>
      </w:r>
      <w:r w:rsidR="00E62C94">
        <w:br w:type="page"/>
      </w:r>
    </w:p>
    <w:p w14:paraId="601A7226" w14:textId="77777777" w:rsidR="008C27BA" w:rsidRDefault="008C27BA">
      <w:pPr>
        <w:pStyle w:val="Heading1"/>
      </w:pPr>
    </w:p>
    <w:p w14:paraId="719A0D3E" w14:textId="77777777" w:rsidR="00593A93" w:rsidRDefault="00593A93" w:rsidP="00C84BBF">
      <w:pPr>
        <w:spacing w:before="0" w:after="0"/>
        <w:rPr>
          <w:rFonts w:ascii="Times" w:eastAsia="Times New Roman" w:hAnsi="Times" w:cs="Times"/>
          <w:szCs w:val="24"/>
        </w:rPr>
      </w:pPr>
    </w:p>
    <w:p w14:paraId="3DFB03E0" w14:textId="77777777" w:rsidR="00435899" w:rsidRPr="00A47EE3" w:rsidRDefault="00FF0A55" w:rsidP="00435899">
      <w:pPr>
        <w:spacing w:before="0" w:after="0"/>
      </w:pPr>
      <w:r>
        <w:rPr>
          <w:noProof/>
        </w:rPr>
        <w:drawing>
          <wp:anchor distT="0" distB="0" distL="114300" distR="114300" simplePos="0" relativeHeight="252013568" behindDoc="1" locked="0" layoutInCell="1" allowOverlap="1" wp14:anchorId="534EF817" wp14:editId="17907DD3">
            <wp:simplePos x="0" y="0"/>
            <wp:positionH relativeFrom="column">
              <wp:posOffset>-626745</wp:posOffset>
            </wp:positionH>
            <wp:positionV relativeFrom="paragraph">
              <wp:posOffset>-612775</wp:posOffset>
            </wp:positionV>
            <wp:extent cx="7750810" cy="10033000"/>
            <wp:effectExtent l="0" t="0" r="2540" b="6350"/>
            <wp:wrapNone/>
            <wp:docPr id="12364" name="Picture 12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G_BUKLET_back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810" cy="1003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4A0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D37B79C" wp14:editId="7D8B98BC">
                <wp:simplePos x="0" y="0"/>
                <wp:positionH relativeFrom="column">
                  <wp:posOffset>1079500</wp:posOffset>
                </wp:positionH>
                <wp:positionV relativeFrom="paragraph">
                  <wp:posOffset>833755</wp:posOffset>
                </wp:positionV>
                <wp:extent cx="5131435" cy="1583055"/>
                <wp:effectExtent l="0" t="0" r="0" b="0"/>
                <wp:wrapNone/>
                <wp:docPr id="12365" name="Rectangle 12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1435" cy="158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4AC43" w14:textId="77777777" w:rsidR="00A22AF3" w:rsidRPr="00FF0A55" w:rsidRDefault="00A22AF3" w:rsidP="00237B11">
                            <w:pPr>
                              <w:jc w:val="right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FF0A55">
                              <w:rPr>
                                <w:b/>
                                <w:color w:val="0D0D0D" w:themeColor="text1" w:themeTint="F2"/>
                              </w:rPr>
                              <w:t xml:space="preserve">Aneta McCoy Advisory Group </w:t>
                            </w:r>
                          </w:p>
                          <w:p w14:paraId="44C1425C" w14:textId="77777777" w:rsidR="00A22AF3" w:rsidRPr="00FF0A55" w:rsidRDefault="00A22AF3" w:rsidP="00237B11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FF0A55">
                              <w:rPr>
                                <w:color w:val="0D0D0D" w:themeColor="text1" w:themeTint="F2"/>
                              </w:rPr>
                              <w:t>Bolotnikovskaya 36/5</w:t>
                            </w:r>
                            <w:r w:rsidRPr="00FF0A55">
                              <w:rPr>
                                <w:color w:val="0D0D0D" w:themeColor="text1" w:themeTint="F2"/>
                              </w:rPr>
                              <w:br/>
                              <w:t>Moscow, Russia 117149</w:t>
                            </w:r>
                            <w:r w:rsidRPr="00FF0A55">
                              <w:rPr>
                                <w:color w:val="0D0D0D" w:themeColor="text1" w:themeTint="F2"/>
                              </w:rPr>
                              <w:br/>
                              <w:t>Tel: +7 (909) 918–7197</w:t>
                            </w:r>
                          </w:p>
                          <w:p w14:paraId="451B89DB" w14:textId="77777777" w:rsidR="00A22AF3" w:rsidRPr="00FF0A55" w:rsidRDefault="00A22AF3" w:rsidP="00237B11">
                            <w:pPr>
                              <w:jc w:val="right"/>
                              <w:rPr>
                                <w:color w:val="0D0D0D" w:themeColor="text1" w:themeTint="F2"/>
                              </w:rPr>
                            </w:pPr>
                            <w:r w:rsidRPr="00FF0A55">
                              <w:rPr>
                                <w:color w:val="0D0D0D" w:themeColor="text1" w:themeTint="F2"/>
                              </w:rPr>
                              <w:t>aneta.mccoy@amadvisorygroup.com</w:t>
                            </w:r>
                            <w:r w:rsidRPr="00FF0A55">
                              <w:rPr>
                                <w:color w:val="0D0D0D" w:themeColor="text1" w:themeTint="F2"/>
                              </w:rPr>
                              <w:br/>
                              <w:t>www.amadvisorygroup.com</w:t>
                            </w:r>
                          </w:p>
                          <w:p w14:paraId="4C846682" w14:textId="77777777" w:rsidR="00A22AF3" w:rsidRDefault="00A22AF3" w:rsidP="00237B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65" o:spid="_x0000_s1027" style="position:absolute;margin-left:85pt;margin-top:65.65pt;width:404.05pt;height:124.6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" filled="f" stroked="f" strokeweight="2pt">
                <v:path arrowok="t"/>
                <v:textbox>
                  <w:txbxContent>
                    <w:p w14:paraId="0934AC43" w14:textId="77777777" w:rsidR="00A22AF3" w:rsidRPr="00FF0A55" w:rsidRDefault="00A22AF3" w:rsidP="00237B11">
                      <w:pPr>
                        <w:jc w:val="right"/>
                        <w:rPr>
                          <w:b/>
                          <w:color w:val="0D0D0D" w:themeColor="text1" w:themeTint="F2"/>
                        </w:rPr>
                      </w:pPr>
                      <w:r w:rsidRPr="00FF0A55">
                        <w:rPr>
                          <w:b/>
                          <w:color w:val="0D0D0D" w:themeColor="text1" w:themeTint="F2"/>
                        </w:rPr>
                        <w:t xml:space="preserve">Aneta McCoy Advisory Group </w:t>
                      </w:r>
                    </w:p>
                    <w:p w14:paraId="44C1425C" w14:textId="77777777" w:rsidR="00A22AF3" w:rsidRPr="00FF0A55" w:rsidRDefault="00A22AF3" w:rsidP="00237B11">
                      <w:pPr>
                        <w:jc w:val="right"/>
                        <w:rPr>
                          <w:color w:val="0D0D0D" w:themeColor="text1" w:themeTint="F2"/>
                        </w:rPr>
                      </w:pPr>
                      <w:r w:rsidRPr="00FF0A55">
                        <w:rPr>
                          <w:color w:val="0D0D0D" w:themeColor="text1" w:themeTint="F2"/>
                        </w:rPr>
                        <w:t>Bolotnikovskaya 36/5</w:t>
                      </w:r>
                      <w:r w:rsidRPr="00FF0A55">
                        <w:rPr>
                          <w:color w:val="0D0D0D" w:themeColor="text1" w:themeTint="F2"/>
                        </w:rPr>
                        <w:br/>
                        <w:t>Moscow, Russia 117149</w:t>
                      </w:r>
                      <w:r w:rsidRPr="00FF0A55">
                        <w:rPr>
                          <w:color w:val="0D0D0D" w:themeColor="text1" w:themeTint="F2"/>
                        </w:rPr>
                        <w:br/>
                        <w:t>Tel: +7 (909) 918–7197</w:t>
                      </w:r>
                    </w:p>
                    <w:p w14:paraId="451B89DB" w14:textId="77777777" w:rsidR="00A22AF3" w:rsidRPr="00FF0A55" w:rsidRDefault="00A22AF3" w:rsidP="00237B11">
                      <w:pPr>
                        <w:jc w:val="right"/>
                        <w:rPr>
                          <w:color w:val="0D0D0D" w:themeColor="text1" w:themeTint="F2"/>
                        </w:rPr>
                      </w:pPr>
                      <w:r w:rsidRPr="00FF0A55">
                        <w:rPr>
                          <w:color w:val="0D0D0D" w:themeColor="text1" w:themeTint="F2"/>
                        </w:rPr>
                        <w:t>aneta.mccoy@amadvisorygroup.com</w:t>
                      </w:r>
                      <w:r w:rsidRPr="00FF0A55">
                        <w:rPr>
                          <w:color w:val="0D0D0D" w:themeColor="text1" w:themeTint="F2"/>
                        </w:rPr>
                        <w:br/>
                        <w:t>www.amadvisorygroup.com</w:t>
                      </w:r>
                    </w:p>
                    <w:p w14:paraId="4C846682" w14:textId="77777777" w:rsidR="00A22AF3" w:rsidRDefault="00A22AF3" w:rsidP="00237B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35899" w:rsidRPr="00A47EE3" w:rsidSect="00BB7FE1">
      <w:footerReference w:type="even" r:id="rId20"/>
      <w:footerReference w:type="default" r:id="rId21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40598" w14:textId="77777777" w:rsidR="00592E5E" w:rsidRDefault="00592E5E" w:rsidP="00A35237">
      <w:pPr>
        <w:spacing w:before="0" w:after="0"/>
      </w:pPr>
      <w:r>
        <w:separator/>
      </w:r>
    </w:p>
  </w:endnote>
  <w:endnote w:type="continuationSeparator" w:id="0">
    <w:p w14:paraId="75B3348A" w14:textId="77777777" w:rsidR="00592E5E" w:rsidRDefault="00592E5E" w:rsidP="00A352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1"/>
      <w:tblW w:w="4908" w:type="pct"/>
      <w:tblInd w:w="11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01"/>
      <w:gridCol w:w="7292"/>
      <w:gridCol w:w="2069"/>
    </w:tblGrid>
    <w:tr w:rsidR="00A22AF3" w14:paraId="1ED731BA" w14:textId="77777777">
      <w:trPr>
        <w:trHeight w:val="30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39" w:type="pct"/>
        </w:tcPr>
        <w:p w14:paraId="53CA715C" w14:textId="77777777" w:rsidR="00A22AF3" w:rsidRDefault="00A22AF3" w:rsidP="003C7BF4">
          <w:pPr>
            <w:pStyle w:val="Footer"/>
            <w:jc w:val="right"/>
            <w:rPr>
              <w:b w:val="0"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518AF" w:rsidRPr="00C518AF">
            <w:rPr>
              <w:noProof/>
              <w:color w:val="FFFFFF" w:themeColor="background1"/>
            </w:rPr>
            <w:t>20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3553" w:type="pct"/>
        </w:tcPr>
        <w:p w14:paraId="186BC3F8" w14:textId="77777777" w:rsidR="00A22AF3" w:rsidRDefault="00A22AF3" w:rsidP="003C7BF4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STYLEREF  "1"  </w:instrText>
          </w:r>
          <w:r w:rsidR="00A4288D">
            <w:fldChar w:fldCharType="separate"/>
          </w:r>
          <w:r w:rsidR="00C518AF">
            <w:rPr>
              <w:noProof/>
            </w:rPr>
            <w:t>Overview of the DR Market (DR Liquidity)</w:t>
          </w:r>
          <w:r>
            <w:rPr>
              <w:noProof/>
            </w:rPr>
            <w:fldChar w:fldCharType="end"/>
          </w:r>
          <w:r>
            <w:t xml:space="preserve"> / AMAG</w:t>
          </w:r>
        </w:p>
      </w:tc>
      <w:tc>
        <w:tcPr>
          <w:tcW w:w="1008" w:type="pct"/>
          <w:vAlign w:val="center"/>
        </w:tcPr>
        <w:p w14:paraId="7949C9FF" w14:textId="61E78C88" w:rsidR="00A22AF3" w:rsidRDefault="00A22AF3" w:rsidP="003C7BF4">
          <w:pPr>
            <w:pStyle w:val="Footer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DATE \@ "M/d/yyyy" </w:instrText>
          </w:r>
          <w:r>
            <w:fldChar w:fldCharType="separate"/>
          </w:r>
          <w:r w:rsidR="008902E6">
            <w:rPr>
              <w:noProof/>
            </w:rPr>
            <w:t>1/24/2014</w:t>
          </w:r>
          <w:r>
            <w:rPr>
              <w:noProof/>
            </w:rPr>
            <w:fldChar w:fldCharType="end"/>
          </w:r>
        </w:p>
      </w:tc>
    </w:tr>
  </w:tbl>
  <w:p w14:paraId="409B6A3D" w14:textId="77777777" w:rsidR="00A22AF3" w:rsidRDefault="00A22AF3" w:rsidP="00D458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1"/>
      <w:tblW w:w="4907" w:type="pct"/>
      <w:tblInd w:w="11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711"/>
      <w:gridCol w:w="7650"/>
      <w:gridCol w:w="899"/>
    </w:tblGrid>
    <w:tr w:rsidR="00A22AF3" w14:paraId="12383B78" w14:textId="77777777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34" w:type="pct"/>
          <w:shd w:val="clear" w:color="auto" w:fill="FFFFFF" w:themeFill="background1"/>
          <w:vAlign w:val="center"/>
        </w:tcPr>
        <w:p w14:paraId="4018136D" w14:textId="0B072782" w:rsidR="00A22AF3" w:rsidRDefault="00A22AF3" w:rsidP="002D1499">
          <w:pPr>
            <w:pStyle w:val="Footer"/>
          </w:pPr>
          <w:r>
            <w:fldChar w:fldCharType="begin"/>
          </w:r>
          <w:r>
            <w:instrText xml:space="preserve"> DATE \@ "M/d/yyyy" </w:instrText>
          </w:r>
          <w:r>
            <w:fldChar w:fldCharType="separate"/>
          </w:r>
          <w:r w:rsidR="008902E6">
            <w:rPr>
              <w:b w:val="0"/>
              <w:noProof/>
            </w:rPr>
            <w:t>1/24/2014</w:t>
          </w:r>
          <w:r>
            <w:rPr>
              <w:noProof/>
            </w:rPr>
            <w:fldChar w:fldCharType="end"/>
          </w:r>
        </w:p>
      </w:tc>
      <w:tc>
        <w:tcPr>
          <w:tcW w:w="3728" w:type="pct"/>
          <w:shd w:val="clear" w:color="auto" w:fill="FFFFFF" w:themeFill="background1"/>
        </w:tcPr>
        <w:p w14:paraId="76AE1768" w14:textId="77777777" w:rsidR="00A22AF3" w:rsidRDefault="00A22AF3" w:rsidP="00045941">
          <w:pPr>
            <w:pStyle w:val="Footer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AMAG / </w:t>
          </w:r>
          <w:r>
            <w:fldChar w:fldCharType="begin"/>
          </w:r>
          <w:r>
            <w:instrText xml:space="preserve"> STYLEREF  "1"  </w:instrText>
          </w:r>
          <w:r w:rsidR="00C518AF">
            <w:fldChar w:fldCharType="separate"/>
          </w:r>
          <w:r w:rsidR="00C518AF">
            <w:rPr>
              <w:noProof/>
            </w:rPr>
            <w:t>Overview of the DR Market (DR Liquidity)</w:t>
          </w:r>
          <w:r>
            <w:rPr>
              <w:noProof/>
            </w:rPr>
            <w:fldChar w:fldCharType="end"/>
          </w:r>
        </w:p>
      </w:tc>
      <w:tc>
        <w:tcPr>
          <w:tcW w:w="439" w:type="pct"/>
          <w:shd w:val="clear" w:color="auto" w:fill="FF0000"/>
        </w:tcPr>
        <w:p w14:paraId="0FC4F6AE" w14:textId="77777777" w:rsidR="00A22AF3" w:rsidRPr="002D1499" w:rsidRDefault="00A22AF3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518AF" w:rsidRPr="00C518AF">
            <w:rPr>
              <w:b/>
              <w:noProof/>
              <w:color w:val="FFFFFF" w:themeColor="background1"/>
            </w:rPr>
            <w:t>19</w:t>
          </w:r>
          <w:r>
            <w:rPr>
              <w:b/>
              <w:noProof/>
              <w:color w:val="FFFFFF" w:themeColor="background1"/>
            </w:rPr>
            <w:fldChar w:fldCharType="end"/>
          </w:r>
        </w:p>
      </w:tc>
    </w:tr>
  </w:tbl>
  <w:p w14:paraId="124E1E4C" w14:textId="77777777" w:rsidR="00A22AF3" w:rsidRDefault="00A22AF3" w:rsidP="00A352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8BBCC" w14:textId="77777777" w:rsidR="00592E5E" w:rsidRDefault="00592E5E" w:rsidP="00A35237">
      <w:pPr>
        <w:spacing w:before="0" w:after="0"/>
      </w:pPr>
      <w:r>
        <w:separator/>
      </w:r>
    </w:p>
  </w:footnote>
  <w:footnote w:type="continuationSeparator" w:id="0">
    <w:p w14:paraId="26F6FC7E" w14:textId="77777777" w:rsidR="00592E5E" w:rsidRDefault="00592E5E" w:rsidP="00A3523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F61"/>
    <w:multiLevelType w:val="hybridMultilevel"/>
    <w:tmpl w:val="07161DC4"/>
    <w:lvl w:ilvl="0" w:tplc="8FF0934A">
      <w:start w:val="1"/>
      <w:numFmt w:val="bullet"/>
      <w:pStyle w:val="minus"/>
      <w:lvlText w:val=""/>
      <w:lvlJc w:val="left"/>
      <w:pPr>
        <w:ind w:left="360" w:hanging="360"/>
      </w:pPr>
      <w:rPr>
        <w:rFonts w:ascii="Symbol" w:hAnsi="Symbol" w:hint="default"/>
        <w:b/>
        <w:i w:val="0"/>
        <w:caps w:val="0"/>
        <w:color w:val="ED1C24" w:themeColor="accent2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6A57"/>
    <w:multiLevelType w:val="hybridMultilevel"/>
    <w:tmpl w:val="D264E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E73907"/>
    <w:multiLevelType w:val="hybridMultilevel"/>
    <w:tmpl w:val="1818B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4A298C"/>
    <w:multiLevelType w:val="hybridMultilevel"/>
    <w:tmpl w:val="57A6FD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B729E"/>
    <w:multiLevelType w:val="hybridMultilevel"/>
    <w:tmpl w:val="C09CB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43662D"/>
    <w:multiLevelType w:val="hybridMultilevel"/>
    <w:tmpl w:val="3254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C53AB"/>
    <w:multiLevelType w:val="hybridMultilevel"/>
    <w:tmpl w:val="0892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762F8"/>
    <w:multiLevelType w:val="hybridMultilevel"/>
    <w:tmpl w:val="9670D456"/>
    <w:lvl w:ilvl="0" w:tplc="A2D2FA0C">
      <w:start w:val="1"/>
      <w:numFmt w:val="bullet"/>
      <w:pStyle w:val="NoSpacing"/>
      <w:lvlText w:val=""/>
      <w:lvlJc w:val="left"/>
      <w:pPr>
        <w:ind w:left="648" w:hanging="360"/>
      </w:pPr>
      <w:rPr>
        <w:rFonts w:ascii="Symbol" w:hAnsi="Symbol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427DD6"/>
    <w:multiLevelType w:val="hybridMultilevel"/>
    <w:tmpl w:val="8B18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60371"/>
    <w:multiLevelType w:val="multilevel"/>
    <w:tmpl w:val="7C461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04135F"/>
    <w:multiLevelType w:val="hybridMultilevel"/>
    <w:tmpl w:val="C2CE1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372B7"/>
    <w:multiLevelType w:val="hybridMultilevel"/>
    <w:tmpl w:val="35B6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B61A2"/>
    <w:multiLevelType w:val="hybridMultilevel"/>
    <w:tmpl w:val="A63C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96D82"/>
    <w:multiLevelType w:val="multilevel"/>
    <w:tmpl w:val="8EE8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AD157A"/>
    <w:multiLevelType w:val="multilevel"/>
    <w:tmpl w:val="3BB4D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EC43D3"/>
    <w:multiLevelType w:val="multilevel"/>
    <w:tmpl w:val="66B8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3F07D1"/>
    <w:multiLevelType w:val="hybridMultilevel"/>
    <w:tmpl w:val="7D10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942F3"/>
    <w:multiLevelType w:val="hybridMultilevel"/>
    <w:tmpl w:val="2D28DFFE"/>
    <w:lvl w:ilvl="0" w:tplc="600ABA36">
      <w:start w:val="1"/>
      <w:numFmt w:val="bullet"/>
      <w:pStyle w:val="Plus"/>
      <w:lvlText w:val=""/>
      <w:lvlJc w:val="left"/>
      <w:pPr>
        <w:ind w:left="360" w:hanging="360"/>
      </w:pPr>
      <w:rPr>
        <w:rFonts w:ascii="Symbol" w:hAnsi="Symbol" w:hint="default"/>
        <w:b/>
        <w:i w:val="0"/>
        <w:caps w:val="0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2FB90A69"/>
    <w:multiLevelType w:val="hybridMultilevel"/>
    <w:tmpl w:val="EE945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792ECC"/>
    <w:multiLevelType w:val="hybridMultilevel"/>
    <w:tmpl w:val="86CE0744"/>
    <w:lvl w:ilvl="0" w:tplc="DA56A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FE3ABD"/>
    <w:multiLevelType w:val="hybridMultilevel"/>
    <w:tmpl w:val="89B44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D5805"/>
    <w:multiLevelType w:val="hybridMultilevel"/>
    <w:tmpl w:val="1FD2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30B91"/>
    <w:multiLevelType w:val="hybridMultilevel"/>
    <w:tmpl w:val="CDB29E3E"/>
    <w:lvl w:ilvl="0" w:tplc="7FFECF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21DBD"/>
    <w:multiLevelType w:val="hybridMultilevel"/>
    <w:tmpl w:val="27983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453E65"/>
    <w:multiLevelType w:val="hybridMultilevel"/>
    <w:tmpl w:val="C766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76D09"/>
    <w:multiLevelType w:val="hybridMultilevel"/>
    <w:tmpl w:val="316EA1D0"/>
    <w:lvl w:ilvl="0" w:tplc="25F80E40">
      <w:start w:val="1"/>
      <w:numFmt w:val="lowerLetter"/>
      <w:pStyle w:val="ABC-2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E973D2C"/>
    <w:multiLevelType w:val="hybridMultilevel"/>
    <w:tmpl w:val="89B44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12D73"/>
    <w:multiLevelType w:val="hybridMultilevel"/>
    <w:tmpl w:val="D8E68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13C18"/>
    <w:multiLevelType w:val="hybridMultilevel"/>
    <w:tmpl w:val="370AD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232E7"/>
    <w:multiLevelType w:val="hybridMultilevel"/>
    <w:tmpl w:val="84FAE5CC"/>
    <w:lvl w:ilvl="0" w:tplc="D6CCD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58244C"/>
    <w:multiLevelType w:val="multilevel"/>
    <w:tmpl w:val="8EE8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DB0B0E"/>
    <w:multiLevelType w:val="multilevel"/>
    <w:tmpl w:val="8EE8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57744D"/>
    <w:multiLevelType w:val="hybridMultilevel"/>
    <w:tmpl w:val="1FDA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472F0"/>
    <w:multiLevelType w:val="hybridMultilevel"/>
    <w:tmpl w:val="3DB83874"/>
    <w:lvl w:ilvl="0" w:tplc="040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34">
    <w:nsid w:val="5CC41B4F"/>
    <w:multiLevelType w:val="hybridMultilevel"/>
    <w:tmpl w:val="50F8C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0790E"/>
    <w:multiLevelType w:val="hybridMultilevel"/>
    <w:tmpl w:val="12966156"/>
    <w:lvl w:ilvl="0" w:tplc="6C7A24BE">
      <w:start w:val="1"/>
      <w:numFmt w:val="upperRoman"/>
      <w:pStyle w:val="Number2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6">
    <w:nsid w:val="5FBF7AFA"/>
    <w:multiLevelType w:val="hybridMultilevel"/>
    <w:tmpl w:val="122EE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110A3"/>
    <w:multiLevelType w:val="hybridMultilevel"/>
    <w:tmpl w:val="656E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3C73D6"/>
    <w:multiLevelType w:val="hybridMultilevel"/>
    <w:tmpl w:val="5C98C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E62D90"/>
    <w:multiLevelType w:val="hybridMultilevel"/>
    <w:tmpl w:val="0F466696"/>
    <w:lvl w:ilvl="0" w:tplc="055AA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1041D0"/>
    <w:multiLevelType w:val="hybridMultilevel"/>
    <w:tmpl w:val="7ADCE90A"/>
    <w:lvl w:ilvl="0" w:tplc="C5C0ECD8">
      <w:start w:val="1"/>
      <w:numFmt w:val="decimal"/>
      <w:pStyle w:val="Number1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7320178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FA35A1"/>
    <w:multiLevelType w:val="hybridMultilevel"/>
    <w:tmpl w:val="08EE0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D50BD5"/>
    <w:multiLevelType w:val="hybridMultilevel"/>
    <w:tmpl w:val="58260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BC41FAB"/>
    <w:multiLevelType w:val="hybridMultilevel"/>
    <w:tmpl w:val="0FC2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9D1160"/>
    <w:multiLevelType w:val="multilevel"/>
    <w:tmpl w:val="8EE8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F87DFC"/>
    <w:multiLevelType w:val="hybridMultilevel"/>
    <w:tmpl w:val="E8B8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FA5C56"/>
    <w:multiLevelType w:val="hybridMultilevel"/>
    <w:tmpl w:val="64DC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75271A"/>
    <w:multiLevelType w:val="hybridMultilevel"/>
    <w:tmpl w:val="1ED05518"/>
    <w:lvl w:ilvl="0" w:tplc="01767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A83505"/>
    <w:multiLevelType w:val="hybridMultilevel"/>
    <w:tmpl w:val="8A546320"/>
    <w:lvl w:ilvl="0" w:tplc="E17CF4CA">
      <w:start w:val="4"/>
      <w:numFmt w:val="bullet"/>
      <w:lvlText w:val="-"/>
      <w:lvlJc w:val="left"/>
      <w:pPr>
        <w:ind w:left="176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49">
    <w:nsid w:val="78D4311A"/>
    <w:multiLevelType w:val="hybridMultilevel"/>
    <w:tmpl w:val="9A726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3F2717"/>
    <w:multiLevelType w:val="hybridMultilevel"/>
    <w:tmpl w:val="D6AC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8272BB"/>
    <w:multiLevelType w:val="hybridMultilevel"/>
    <w:tmpl w:val="46F47656"/>
    <w:lvl w:ilvl="0" w:tplc="2CE234B4">
      <w:start w:val="1"/>
      <w:numFmt w:val="lowerLetter"/>
      <w:pStyle w:val="a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B5E0E60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C80156A"/>
    <w:multiLevelType w:val="hybridMultilevel"/>
    <w:tmpl w:val="C53C4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FA4E83"/>
    <w:multiLevelType w:val="hybridMultilevel"/>
    <w:tmpl w:val="A5DA0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9759CB"/>
    <w:multiLevelType w:val="hybridMultilevel"/>
    <w:tmpl w:val="1A6A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B17D7E"/>
    <w:multiLevelType w:val="hybridMultilevel"/>
    <w:tmpl w:val="26249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35"/>
  </w:num>
  <w:num w:numId="4">
    <w:abstractNumId w:val="17"/>
  </w:num>
  <w:num w:numId="5">
    <w:abstractNumId w:val="0"/>
  </w:num>
  <w:num w:numId="6">
    <w:abstractNumId w:val="51"/>
  </w:num>
  <w:num w:numId="7">
    <w:abstractNumId w:val="25"/>
  </w:num>
  <w:num w:numId="8">
    <w:abstractNumId w:val="33"/>
  </w:num>
  <w:num w:numId="9">
    <w:abstractNumId w:val="48"/>
  </w:num>
  <w:num w:numId="10">
    <w:abstractNumId w:val="45"/>
  </w:num>
  <w:num w:numId="11">
    <w:abstractNumId w:val="22"/>
  </w:num>
  <w:num w:numId="12">
    <w:abstractNumId w:val="23"/>
  </w:num>
  <w:num w:numId="13">
    <w:abstractNumId w:val="2"/>
  </w:num>
  <w:num w:numId="14">
    <w:abstractNumId w:val="55"/>
  </w:num>
  <w:num w:numId="15">
    <w:abstractNumId w:val="12"/>
  </w:num>
  <w:num w:numId="16">
    <w:abstractNumId w:val="43"/>
  </w:num>
  <w:num w:numId="17">
    <w:abstractNumId w:val="11"/>
  </w:num>
  <w:num w:numId="18">
    <w:abstractNumId w:val="1"/>
  </w:num>
  <w:num w:numId="19">
    <w:abstractNumId w:val="5"/>
  </w:num>
  <w:num w:numId="20">
    <w:abstractNumId w:val="39"/>
  </w:num>
  <w:num w:numId="21">
    <w:abstractNumId w:val="19"/>
  </w:num>
  <w:num w:numId="22">
    <w:abstractNumId w:val="42"/>
  </w:num>
  <w:num w:numId="23">
    <w:abstractNumId w:val="37"/>
  </w:num>
  <w:num w:numId="24">
    <w:abstractNumId w:val="27"/>
  </w:num>
  <w:num w:numId="25">
    <w:abstractNumId w:val="38"/>
  </w:num>
  <w:num w:numId="26">
    <w:abstractNumId w:val="44"/>
  </w:num>
  <w:num w:numId="27">
    <w:abstractNumId w:val="14"/>
  </w:num>
  <w:num w:numId="28">
    <w:abstractNumId w:val="9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49"/>
  </w:num>
  <w:num w:numId="34">
    <w:abstractNumId w:val="36"/>
  </w:num>
  <w:num w:numId="35">
    <w:abstractNumId w:val="16"/>
  </w:num>
  <w:num w:numId="36">
    <w:abstractNumId w:val="20"/>
  </w:num>
  <w:num w:numId="37">
    <w:abstractNumId w:val="26"/>
  </w:num>
  <w:num w:numId="38">
    <w:abstractNumId w:val="24"/>
  </w:num>
  <w:num w:numId="39">
    <w:abstractNumId w:val="6"/>
  </w:num>
  <w:num w:numId="40">
    <w:abstractNumId w:val="30"/>
  </w:num>
  <w:num w:numId="41">
    <w:abstractNumId w:val="13"/>
  </w:num>
  <w:num w:numId="42">
    <w:abstractNumId w:val="46"/>
  </w:num>
  <w:num w:numId="43">
    <w:abstractNumId w:val="29"/>
  </w:num>
  <w:num w:numId="44">
    <w:abstractNumId w:val="34"/>
  </w:num>
  <w:num w:numId="45">
    <w:abstractNumId w:val="10"/>
  </w:num>
  <w:num w:numId="46">
    <w:abstractNumId w:val="4"/>
  </w:num>
  <w:num w:numId="47">
    <w:abstractNumId w:val="18"/>
  </w:num>
  <w:num w:numId="48">
    <w:abstractNumId w:val="50"/>
  </w:num>
  <w:num w:numId="49">
    <w:abstractNumId w:val="8"/>
  </w:num>
  <w:num w:numId="50">
    <w:abstractNumId w:val="52"/>
  </w:num>
  <w:num w:numId="51">
    <w:abstractNumId w:val="32"/>
  </w:num>
  <w:num w:numId="52">
    <w:abstractNumId w:val="3"/>
  </w:num>
  <w:num w:numId="53">
    <w:abstractNumId w:val="47"/>
  </w:num>
  <w:num w:numId="54">
    <w:abstractNumId w:val="41"/>
  </w:num>
  <w:num w:numId="55">
    <w:abstractNumId w:val="53"/>
  </w:num>
  <w:num w:numId="56">
    <w:abstractNumId w:val="5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24"/>
    <w:rsid w:val="00001613"/>
    <w:rsid w:val="00003259"/>
    <w:rsid w:val="00003680"/>
    <w:rsid w:val="0000487A"/>
    <w:rsid w:val="000062CA"/>
    <w:rsid w:val="00007027"/>
    <w:rsid w:val="000070EA"/>
    <w:rsid w:val="0000740E"/>
    <w:rsid w:val="00010245"/>
    <w:rsid w:val="00010294"/>
    <w:rsid w:val="000112C3"/>
    <w:rsid w:val="00011929"/>
    <w:rsid w:val="0001274B"/>
    <w:rsid w:val="00013786"/>
    <w:rsid w:val="0001446B"/>
    <w:rsid w:val="000147D0"/>
    <w:rsid w:val="00015AE2"/>
    <w:rsid w:val="00016136"/>
    <w:rsid w:val="00017121"/>
    <w:rsid w:val="00020973"/>
    <w:rsid w:val="000217F5"/>
    <w:rsid w:val="00021862"/>
    <w:rsid w:val="00022060"/>
    <w:rsid w:val="0002370E"/>
    <w:rsid w:val="00023E7A"/>
    <w:rsid w:val="00024997"/>
    <w:rsid w:val="00024D80"/>
    <w:rsid w:val="0002535B"/>
    <w:rsid w:val="00026D37"/>
    <w:rsid w:val="00027D00"/>
    <w:rsid w:val="00030660"/>
    <w:rsid w:val="000339FC"/>
    <w:rsid w:val="00034D02"/>
    <w:rsid w:val="00036D64"/>
    <w:rsid w:val="00040E35"/>
    <w:rsid w:val="00045941"/>
    <w:rsid w:val="00047A8E"/>
    <w:rsid w:val="0005488E"/>
    <w:rsid w:val="00054C91"/>
    <w:rsid w:val="00054E51"/>
    <w:rsid w:val="000578A1"/>
    <w:rsid w:val="00060AC4"/>
    <w:rsid w:val="0006288F"/>
    <w:rsid w:val="0006385E"/>
    <w:rsid w:val="000642F7"/>
    <w:rsid w:val="0006453F"/>
    <w:rsid w:val="00064DFF"/>
    <w:rsid w:val="0006551D"/>
    <w:rsid w:val="00066F89"/>
    <w:rsid w:val="000707AE"/>
    <w:rsid w:val="00070C58"/>
    <w:rsid w:val="00071058"/>
    <w:rsid w:val="00071471"/>
    <w:rsid w:val="00071647"/>
    <w:rsid w:val="00071A57"/>
    <w:rsid w:val="00071D00"/>
    <w:rsid w:val="00072613"/>
    <w:rsid w:val="0007303B"/>
    <w:rsid w:val="000750F7"/>
    <w:rsid w:val="000755A3"/>
    <w:rsid w:val="00075FDB"/>
    <w:rsid w:val="000765DE"/>
    <w:rsid w:val="00080147"/>
    <w:rsid w:val="00081C12"/>
    <w:rsid w:val="0008222A"/>
    <w:rsid w:val="0008344D"/>
    <w:rsid w:val="00083EA1"/>
    <w:rsid w:val="00084077"/>
    <w:rsid w:val="000841DD"/>
    <w:rsid w:val="00084853"/>
    <w:rsid w:val="00084C30"/>
    <w:rsid w:val="0008614D"/>
    <w:rsid w:val="0009497D"/>
    <w:rsid w:val="00096E91"/>
    <w:rsid w:val="000977BB"/>
    <w:rsid w:val="000A004C"/>
    <w:rsid w:val="000A07C7"/>
    <w:rsid w:val="000A2D2B"/>
    <w:rsid w:val="000A2D2E"/>
    <w:rsid w:val="000A5B57"/>
    <w:rsid w:val="000A6D04"/>
    <w:rsid w:val="000B2E51"/>
    <w:rsid w:val="000B6045"/>
    <w:rsid w:val="000B68BF"/>
    <w:rsid w:val="000B69F4"/>
    <w:rsid w:val="000B7215"/>
    <w:rsid w:val="000B740D"/>
    <w:rsid w:val="000C036C"/>
    <w:rsid w:val="000C2474"/>
    <w:rsid w:val="000C2582"/>
    <w:rsid w:val="000C3A44"/>
    <w:rsid w:val="000C3C94"/>
    <w:rsid w:val="000C4001"/>
    <w:rsid w:val="000C55DA"/>
    <w:rsid w:val="000C5961"/>
    <w:rsid w:val="000C6AF2"/>
    <w:rsid w:val="000C7086"/>
    <w:rsid w:val="000D1A9F"/>
    <w:rsid w:val="000D1BFF"/>
    <w:rsid w:val="000D4A99"/>
    <w:rsid w:val="000D69D3"/>
    <w:rsid w:val="000D7196"/>
    <w:rsid w:val="000E277D"/>
    <w:rsid w:val="000E4610"/>
    <w:rsid w:val="000E539F"/>
    <w:rsid w:val="000E71EB"/>
    <w:rsid w:val="000E74DB"/>
    <w:rsid w:val="000E7AB7"/>
    <w:rsid w:val="000F5145"/>
    <w:rsid w:val="000F5566"/>
    <w:rsid w:val="000F5BC9"/>
    <w:rsid w:val="000F6398"/>
    <w:rsid w:val="001000E5"/>
    <w:rsid w:val="001008D7"/>
    <w:rsid w:val="00100BA5"/>
    <w:rsid w:val="00100F20"/>
    <w:rsid w:val="00101D2B"/>
    <w:rsid w:val="00102A3A"/>
    <w:rsid w:val="001053B9"/>
    <w:rsid w:val="00110C3D"/>
    <w:rsid w:val="00110D00"/>
    <w:rsid w:val="00110DEB"/>
    <w:rsid w:val="00112688"/>
    <w:rsid w:val="00112C56"/>
    <w:rsid w:val="00113A2F"/>
    <w:rsid w:val="00113D13"/>
    <w:rsid w:val="00116200"/>
    <w:rsid w:val="00116C37"/>
    <w:rsid w:val="00116EB1"/>
    <w:rsid w:val="00117377"/>
    <w:rsid w:val="00117CC1"/>
    <w:rsid w:val="001202F9"/>
    <w:rsid w:val="001214A6"/>
    <w:rsid w:val="00121EF8"/>
    <w:rsid w:val="00123550"/>
    <w:rsid w:val="0012364A"/>
    <w:rsid w:val="00125116"/>
    <w:rsid w:val="00125117"/>
    <w:rsid w:val="00125325"/>
    <w:rsid w:val="00125D61"/>
    <w:rsid w:val="00127738"/>
    <w:rsid w:val="00130282"/>
    <w:rsid w:val="00131605"/>
    <w:rsid w:val="00131B99"/>
    <w:rsid w:val="00133A77"/>
    <w:rsid w:val="00134388"/>
    <w:rsid w:val="00134AF3"/>
    <w:rsid w:val="00134FC9"/>
    <w:rsid w:val="0013670D"/>
    <w:rsid w:val="0014021F"/>
    <w:rsid w:val="001412CB"/>
    <w:rsid w:val="0014242E"/>
    <w:rsid w:val="00142754"/>
    <w:rsid w:val="00143963"/>
    <w:rsid w:val="00144B84"/>
    <w:rsid w:val="00150F81"/>
    <w:rsid w:val="001520BB"/>
    <w:rsid w:val="00152A2A"/>
    <w:rsid w:val="00153240"/>
    <w:rsid w:val="00153DFD"/>
    <w:rsid w:val="00155AEE"/>
    <w:rsid w:val="00160ABE"/>
    <w:rsid w:val="00160AF6"/>
    <w:rsid w:val="00162938"/>
    <w:rsid w:val="001635EA"/>
    <w:rsid w:val="00165C32"/>
    <w:rsid w:val="00170D23"/>
    <w:rsid w:val="001716AD"/>
    <w:rsid w:val="00173484"/>
    <w:rsid w:val="00173C08"/>
    <w:rsid w:val="00174874"/>
    <w:rsid w:val="00174ACF"/>
    <w:rsid w:val="001776A1"/>
    <w:rsid w:val="001777DB"/>
    <w:rsid w:val="00177B1D"/>
    <w:rsid w:val="0018003B"/>
    <w:rsid w:val="0018013B"/>
    <w:rsid w:val="00182DD2"/>
    <w:rsid w:val="0018351C"/>
    <w:rsid w:val="0018415C"/>
    <w:rsid w:val="001842F3"/>
    <w:rsid w:val="00184F21"/>
    <w:rsid w:val="00185A3A"/>
    <w:rsid w:val="00185D47"/>
    <w:rsid w:val="00187C82"/>
    <w:rsid w:val="00187CAD"/>
    <w:rsid w:val="00190FA7"/>
    <w:rsid w:val="00191C21"/>
    <w:rsid w:val="00192183"/>
    <w:rsid w:val="001941A0"/>
    <w:rsid w:val="001952D0"/>
    <w:rsid w:val="00195D27"/>
    <w:rsid w:val="00197085"/>
    <w:rsid w:val="001A05F6"/>
    <w:rsid w:val="001A0718"/>
    <w:rsid w:val="001A075D"/>
    <w:rsid w:val="001A48E5"/>
    <w:rsid w:val="001A4F6B"/>
    <w:rsid w:val="001A5024"/>
    <w:rsid w:val="001A56F5"/>
    <w:rsid w:val="001A6D21"/>
    <w:rsid w:val="001A6E25"/>
    <w:rsid w:val="001A7EAD"/>
    <w:rsid w:val="001B24A0"/>
    <w:rsid w:val="001B2F5B"/>
    <w:rsid w:val="001B3BAE"/>
    <w:rsid w:val="001B6910"/>
    <w:rsid w:val="001C034F"/>
    <w:rsid w:val="001C08DE"/>
    <w:rsid w:val="001C0D1E"/>
    <w:rsid w:val="001C25F7"/>
    <w:rsid w:val="001C4F57"/>
    <w:rsid w:val="001C5C87"/>
    <w:rsid w:val="001C688A"/>
    <w:rsid w:val="001D02D7"/>
    <w:rsid w:val="001D1D52"/>
    <w:rsid w:val="001D31F9"/>
    <w:rsid w:val="001D3CEF"/>
    <w:rsid w:val="001D47EA"/>
    <w:rsid w:val="001D565B"/>
    <w:rsid w:val="001E0110"/>
    <w:rsid w:val="001E0EF2"/>
    <w:rsid w:val="001E5770"/>
    <w:rsid w:val="001E5F52"/>
    <w:rsid w:val="001E7095"/>
    <w:rsid w:val="001E7C04"/>
    <w:rsid w:val="001F1366"/>
    <w:rsid w:val="001F226F"/>
    <w:rsid w:val="001F2B36"/>
    <w:rsid w:val="001F2FC2"/>
    <w:rsid w:val="001F3FEB"/>
    <w:rsid w:val="001F428B"/>
    <w:rsid w:val="001F47A6"/>
    <w:rsid w:val="001F7C74"/>
    <w:rsid w:val="00201480"/>
    <w:rsid w:val="00202D71"/>
    <w:rsid w:val="002034DC"/>
    <w:rsid w:val="00203886"/>
    <w:rsid w:val="00203D7E"/>
    <w:rsid w:val="002049C5"/>
    <w:rsid w:val="00204D9A"/>
    <w:rsid w:val="00205777"/>
    <w:rsid w:val="00205BAE"/>
    <w:rsid w:val="00206077"/>
    <w:rsid w:val="00206736"/>
    <w:rsid w:val="00212AE4"/>
    <w:rsid w:val="00214050"/>
    <w:rsid w:val="00214C6D"/>
    <w:rsid w:val="00214FED"/>
    <w:rsid w:val="00215B61"/>
    <w:rsid w:val="00215F2F"/>
    <w:rsid w:val="00217FF6"/>
    <w:rsid w:val="00220D0D"/>
    <w:rsid w:val="00221B55"/>
    <w:rsid w:val="00227A87"/>
    <w:rsid w:val="00230C76"/>
    <w:rsid w:val="00231EE3"/>
    <w:rsid w:val="00232175"/>
    <w:rsid w:val="0023340F"/>
    <w:rsid w:val="00233E23"/>
    <w:rsid w:val="00234117"/>
    <w:rsid w:val="0023766C"/>
    <w:rsid w:val="0023788E"/>
    <w:rsid w:val="00237B11"/>
    <w:rsid w:val="00237C6F"/>
    <w:rsid w:val="00242976"/>
    <w:rsid w:val="00244DE9"/>
    <w:rsid w:val="00244FE7"/>
    <w:rsid w:val="0024565B"/>
    <w:rsid w:val="00246D25"/>
    <w:rsid w:val="0025004B"/>
    <w:rsid w:val="00250B4D"/>
    <w:rsid w:val="00260285"/>
    <w:rsid w:val="002609CC"/>
    <w:rsid w:val="0026104E"/>
    <w:rsid w:val="00261087"/>
    <w:rsid w:val="00263F04"/>
    <w:rsid w:val="002660DC"/>
    <w:rsid w:val="002664FD"/>
    <w:rsid w:val="00271F98"/>
    <w:rsid w:val="002723C4"/>
    <w:rsid w:val="002735C3"/>
    <w:rsid w:val="00275485"/>
    <w:rsid w:val="00275F81"/>
    <w:rsid w:val="00281675"/>
    <w:rsid w:val="00281F82"/>
    <w:rsid w:val="00284118"/>
    <w:rsid w:val="00286378"/>
    <w:rsid w:val="00286447"/>
    <w:rsid w:val="00286A3E"/>
    <w:rsid w:val="00287F19"/>
    <w:rsid w:val="002901E5"/>
    <w:rsid w:val="0029140D"/>
    <w:rsid w:val="00291706"/>
    <w:rsid w:val="00291A83"/>
    <w:rsid w:val="00291DBD"/>
    <w:rsid w:val="002946D5"/>
    <w:rsid w:val="00294AC2"/>
    <w:rsid w:val="00295F19"/>
    <w:rsid w:val="002965D3"/>
    <w:rsid w:val="00296E2E"/>
    <w:rsid w:val="00296EF7"/>
    <w:rsid w:val="00297C79"/>
    <w:rsid w:val="002A12B6"/>
    <w:rsid w:val="002A1465"/>
    <w:rsid w:val="002A14C6"/>
    <w:rsid w:val="002A16B5"/>
    <w:rsid w:val="002A1FAA"/>
    <w:rsid w:val="002A2129"/>
    <w:rsid w:val="002A2A1C"/>
    <w:rsid w:val="002A49D1"/>
    <w:rsid w:val="002A51A4"/>
    <w:rsid w:val="002A53D0"/>
    <w:rsid w:val="002A5A7A"/>
    <w:rsid w:val="002A5C18"/>
    <w:rsid w:val="002A6A9F"/>
    <w:rsid w:val="002A6D71"/>
    <w:rsid w:val="002A6D8E"/>
    <w:rsid w:val="002A6FB5"/>
    <w:rsid w:val="002A7244"/>
    <w:rsid w:val="002B20A9"/>
    <w:rsid w:val="002B2A17"/>
    <w:rsid w:val="002B2B72"/>
    <w:rsid w:val="002B655A"/>
    <w:rsid w:val="002B791A"/>
    <w:rsid w:val="002C1154"/>
    <w:rsid w:val="002C223B"/>
    <w:rsid w:val="002C32F4"/>
    <w:rsid w:val="002C3965"/>
    <w:rsid w:val="002C42F5"/>
    <w:rsid w:val="002C5F7C"/>
    <w:rsid w:val="002C65F1"/>
    <w:rsid w:val="002C6AAC"/>
    <w:rsid w:val="002D1499"/>
    <w:rsid w:val="002D180F"/>
    <w:rsid w:val="002D488E"/>
    <w:rsid w:val="002D4D1E"/>
    <w:rsid w:val="002D53B3"/>
    <w:rsid w:val="002D58D1"/>
    <w:rsid w:val="002E1621"/>
    <w:rsid w:val="002E1B26"/>
    <w:rsid w:val="002E1FD4"/>
    <w:rsid w:val="002E281A"/>
    <w:rsid w:val="002E35C7"/>
    <w:rsid w:val="002E3620"/>
    <w:rsid w:val="002E3AAD"/>
    <w:rsid w:val="002E4309"/>
    <w:rsid w:val="002E452A"/>
    <w:rsid w:val="002E53A7"/>
    <w:rsid w:val="002E5B4C"/>
    <w:rsid w:val="002E5D25"/>
    <w:rsid w:val="002E73B5"/>
    <w:rsid w:val="002F3B0E"/>
    <w:rsid w:val="002F3F0C"/>
    <w:rsid w:val="002F45EF"/>
    <w:rsid w:val="002F4ABF"/>
    <w:rsid w:val="002F4BE3"/>
    <w:rsid w:val="002F4CD0"/>
    <w:rsid w:val="002F5903"/>
    <w:rsid w:val="00300344"/>
    <w:rsid w:val="00300958"/>
    <w:rsid w:val="00301087"/>
    <w:rsid w:val="00301911"/>
    <w:rsid w:val="00301FEB"/>
    <w:rsid w:val="003028DC"/>
    <w:rsid w:val="00302D79"/>
    <w:rsid w:val="003047D4"/>
    <w:rsid w:val="00306678"/>
    <w:rsid w:val="00306EEA"/>
    <w:rsid w:val="003071A1"/>
    <w:rsid w:val="00307380"/>
    <w:rsid w:val="00307C52"/>
    <w:rsid w:val="00310DEB"/>
    <w:rsid w:val="00312F64"/>
    <w:rsid w:val="00315940"/>
    <w:rsid w:val="00316145"/>
    <w:rsid w:val="00316675"/>
    <w:rsid w:val="00317C5D"/>
    <w:rsid w:val="00320708"/>
    <w:rsid w:val="00320CA4"/>
    <w:rsid w:val="0032132C"/>
    <w:rsid w:val="003217DB"/>
    <w:rsid w:val="003220EA"/>
    <w:rsid w:val="003229A2"/>
    <w:rsid w:val="003236B0"/>
    <w:rsid w:val="00323711"/>
    <w:rsid w:val="003246D6"/>
    <w:rsid w:val="0032524C"/>
    <w:rsid w:val="003259EC"/>
    <w:rsid w:val="00325A00"/>
    <w:rsid w:val="00327FFB"/>
    <w:rsid w:val="00330864"/>
    <w:rsid w:val="0033256E"/>
    <w:rsid w:val="0033265F"/>
    <w:rsid w:val="00332CB5"/>
    <w:rsid w:val="00334A4F"/>
    <w:rsid w:val="0033534E"/>
    <w:rsid w:val="00335997"/>
    <w:rsid w:val="00337251"/>
    <w:rsid w:val="003378AB"/>
    <w:rsid w:val="003420EE"/>
    <w:rsid w:val="003436B7"/>
    <w:rsid w:val="003455BF"/>
    <w:rsid w:val="00347AC2"/>
    <w:rsid w:val="00350BA3"/>
    <w:rsid w:val="00351619"/>
    <w:rsid w:val="00352D5C"/>
    <w:rsid w:val="00353294"/>
    <w:rsid w:val="00353678"/>
    <w:rsid w:val="00353FD7"/>
    <w:rsid w:val="003540A7"/>
    <w:rsid w:val="00354696"/>
    <w:rsid w:val="00355197"/>
    <w:rsid w:val="00355549"/>
    <w:rsid w:val="0035585B"/>
    <w:rsid w:val="0035655F"/>
    <w:rsid w:val="00356BE5"/>
    <w:rsid w:val="00357414"/>
    <w:rsid w:val="00357938"/>
    <w:rsid w:val="00360CD0"/>
    <w:rsid w:val="00360DDD"/>
    <w:rsid w:val="00361253"/>
    <w:rsid w:val="00361278"/>
    <w:rsid w:val="0036314A"/>
    <w:rsid w:val="00364005"/>
    <w:rsid w:val="00364845"/>
    <w:rsid w:val="00365894"/>
    <w:rsid w:val="0036741B"/>
    <w:rsid w:val="00367A61"/>
    <w:rsid w:val="00372C76"/>
    <w:rsid w:val="00372F71"/>
    <w:rsid w:val="0037361A"/>
    <w:rsid w:val="0037517F"/>
    <w:rsid w:val="00377D07"/>
    <w:rsid w:val="00382447"/>
    <w:rsid w:val="00383005"/>
    <w:rsid w:val="0038346D"/>
    <w:rsid w:val="00383FDA"/>
    <w:rsid w:val="003843A7"/>
    <w:rsid w:val="003854B6"/>
    <w:rsid w:val="0038626A"/>
    <w:rsid w:val="00393F5E"/>
    <w:rsid w:val="00394B49"/>
    <w:rsid w:val="0039502C"/>
    <w:rsid w:val="0039597B"/>
    <w:rsid w:val="00396AC8"/>
    <w:rsid w:val="003970CD"/>
    <w:rsid w:val="003A08C2"/>
    <w:rsid w:val="003A2C40"/>
    <w:rsid w:val="003A34D7"/>
    <w:rsid w:val="003A43ED"/>
    <w:rsid w:val="003A4458"/>
    <w:rsid w:val="003A50EB"/>
    <w:rsid w:val="003A54BA"/>
    <w:rsid w:val="003A6265"/>
    <w:rsid w:val="003A6FA2"/>
    <w:rsid w:val="003A7AFE"/>
    <w:rsid w:val="003B23F5"/>
    <w:rsid w:val="003B2ABD"/>
    <w:rsid w:val="003B3725"/>
    <w:rsid w:val="003B53F6"/>
    <w:rsid w:val="003B5819"/>
    <w:rsid w:val="003B5CC7"/>
    <w:rsid w:val="003B61C6"/>
    <w:rsid w:val="003B65EB"/>
    <w:rsid w:val="003B7689"/>
    <w:rsid w:val="003C08D5"/>
    <w:rsid w:val="003C265D"/>
    <w:rsid w:val="003C2B34"/>
    <w:rsid w:val="003C3C4D"/>
    <w:rsid w:val="003C4604"/>
    <w:rsid w:val="003C4B56"/>
    <w:rsid w:val="003C75B2"/>
    <w:rsid w:val="003C7BF4"/>
    <w:rsid w:val="003D04CA"/>
    <w:rsid w:val="003D0CB2"/>
    <w:rsid w:val="003D108B"/>
    <w:rsid w:val="003D10A7"/>
    <w:rsid w:val="003D1CF6"/>
    <w:rsid w:val="003D2761"/>
    <w:rsid w:val="003D4073"/>
    <w:rsid w:val="003D4982"/>
    <w:rsid w:val="003D5CA4"/>
    <w:rsid w:val="003D5EF4"/>
    <w:rsid w:val="003E02A8"/>
    <w:rsid w:val="003E0EB5"/>
    <w:rsid w:val="003E0F68"/>
    <w:rsid w:val="003E145C"/>
    <w:rsid w:val="003E2965"/>
    <w:rsid w:val="003E548B"/>
    <w:rsid w:val="003E55AC"/>
    <w:rsid w:val="003E665B"/>
    <w:rsid w:val="003E72B2"/>
    <w:rsid w:val="003F01AE"/>
    <w:rsid w:val="003F0D43"/>
    <w:rsid w:val="003F19DE"/>
    <w:rsid w:val="003F4820"/>
    <w:rsid w:val="003F4C67"/>
    <w:rsid w:val="003F4F0E"/>
    <w:rsid w:val="003F7F75"/>
    <w:rsid w:val="004013D2"/>
    <w:rsid w:val="00401C60"/>
    <w:rsid w:val="00401DF4"/>
    <w:rsid w:val="00401FFD"/>
    <w:rsid w:val="00402B2E"/>
    <w:rsid w:val="004042AD"/>
    <w:rsid w:val="00405145"/>
    <w:rsid w:val="00407A2A"/>
    <w:rsid w:val="00407AEA"/>
    <w:rsid w:val="00411285"/>
    <w:rsid w:val="00411824"/>
    <w:rsid w:val="00411AEB"/>
    <w:rsid w:val="00411FB4"/>
    <w:rsid w:val="00414549"/>
    <w:rsid w:val="00414810"/>
    <w:rsid w:val="00415504"/>
    <w:rsid w:val="004155D9"/>
    <w:rsid w:val="004168D5"/>
    <w:rsid w:val="004178E2"/>
    <w:rsid w:val="00417C7E"/>
    <w:rsid w:val="00421CD7"/>
    <w:rsid w:val="004223BA"/>
    <w:rsid w:val="004229EE"/>
    <w:rsid w:val="00422AF7"/>
    <w:rsid w:val="00423AFB"/>
    <w:rsid w:val="00425A9C"/>
    <w:rsid w:val="0042661D"/>
    <w:rsid w:val="00427CC9"/>
    <w:rsid w:val="00430466"/>
    <w:rsid w:val="00430BBA"/>
    <w:rsid w:val="00430D12"/>
    <w:rsid w:val="00431130"/>
    <w:rsid w:val="00432B7E"/>
    <w:rsid w:val="00434A9A"/>
    <w:rsid w:val="004355D2"/>
    <w:rsid w:val="00435899"/>
    <w:rsid w:val="00435F44"/>
    <w:rsid w:val="00441045"/>
    <w:rsid w:val="00441345"/>
    <w:rsid w:val="004417CE"/>
    <w:rsid w:val="004428C9"/>
    <w:rsid w:val="00444738"/>
    <w:rsid w:val="00446062"/>
    <w:rsid w:val="004479B6"/>
    <w:rsid w:val="00450E77"/>
    <w:rsid w:val="004514EA"/>
    <w:rsid w:val="00453BF1"/>
    <w:rsid w:val="00454473"/>
    <w:rsid w:val="00456509"/>
    <w:rsid w:val="00456BA2"/>
    <w:rsid w:val="00457DE2"/>
    <w:rsid w:val="0046153D"/>
    <w:rsid w:val="00462764"/>
    <w:rsid w:val="0046404F"/>
    <w:rsid w:val="00470520"/>
    <w:rsid w:val="00472DFF"/>
    <w:rsid w:val="00474A16"/>
    <w:rsid w:val="0047520B"/>
    <w:rsid w:val="00475B1A"/>
    <w:rsid w:val="00475C31"/>
    <w:rsid w:val="00475C63"/>
    <w:rsid w:val="00476387"/>
    <w:rsid w:val="00476FF3"/>
    <w:rsid w:val="00477116"/>
    <w:rsid w:val="00480733"/>
    <w:rsid w:val="00481879"/>
    <w:rsid w:val="00481970"/>
    <w:rsid w:val="00481A3A"/>
    <w:rsid w:val="004820F9"/>
    <w:rsid w:val="00484283"/>
    <w:rsid w:val="004849BB"/>
    <w:rsid w:val="0048581B"/>
    <w:rsid w:val="00485BB6"/>
    <w:rsid w:val="00486283"/>
    <w:rsid w:val="00486F1B"/>
    <w:rsid w:val="0048765D"/>
    <w:rsid w:val="00487EC6"/>
    <w:rsid w:val="00490AFE"/>
    <w:rsid w:val="00491818"/>
    <w:rsid w:val="00491A9A"/>
    <w:rsid w:val="004925E1"/>
    <w:rsid w:val="00492FAD"/>
    <w:rsid w:val="00493316"/>
    <w:rsid w:val="00493CF4"/>
    <w:rsid w:val="00496B43"/>
    <w:rsid w:val="004A0D8D"/>
    <w:rsid w:val="004A1012"/>
    <w:rsid w:val="004A4BCD"/>
    <w:rsid w:val="004A55B5"/>
    <w:rsid w:val="004A6494"/>
    <w:rsid w:val="004B0D56"/>
    <w:rsid w:val="004B12D3"/>
    <w:rsid w:val="004B1C2C"/>
    <w:rsid w:val="004B3E68"/>
    <w:rsid w:val="004B40CC"/>
    <w:rsid w:val="004B5255"/>
    <w:rsid w:val="004B5955"/>
    <w:rsid w:val="004B5A89"/>
    <w:rsid w:val="004B6915"/>
    <w:rsid w:val="004B6BD0"/>
    <w:rsid w:val="004B796E"/>
    <w:rsid w:val="004C4739"/>
    <w:rsid w:val="004C72E1"/>
    <w:rsid w:val="004C7342"/>
    <w:rsid w:val="004C796F"/>
    <w:rsid w:val="004D043B"/>
    <w:rsid w:val="004D0F5F"/>
    <w:rsid w:val="004D1975"/>
    <w:rsid w:val="004D1D9E"/>
    <w:rsid w:val="004D30A8"/>
    <w:rsid w:val="004D3EBB"/>
    <w:rsid w:val="004D61FD"/>
    <w:rsid w:val="004E0E4D"/>
    <w:rsid w:val="004E1ACA"/>
    <w:rsid w:val="004E1B96"/>
    <w:rsid w:val="004E1EB3"/>
    <w:rsid w:val="004E21F0"/>
    <w:rsid w:val="004E57CA"/>
    <w:rsid w:val="004E5BBA"/>
    <w:rsid w:val="004E5C7F"/>
    <w:rsid w:val="004E6D34"/>
    <w:rsid w:val="004E7778"/>
    <w:rsid w:val="004E7B68"/>
    <w:rsid w:val="004F0693"/>
    <w:rsid w:val="004F2619"/>
    <w:rsid w:val="004F53E0"/>
    <w:rsid w:val="004F5519"/>
    <w:rsid w:val="004F77AB"/>
    <w:rsid w:val="004F79A7"/>
    <w:rsid w:val="004F7D73"/>
    <w:rsid w:val="00500154"/>
    <w:rsid w:val="00500FD5"/>
    <w:rsid w:val="00502800"/>
    <w:rsid w:val="0050465E"/>
    <w:rsid w:val="0050488E"/>
    <w:rsid w:val="00504935"/>
    <w:rsid w:val="00504AAC"/>
    <w:rsid w:val="00505882"/>
    <w:rsid w:val="00505D35"/>
    <w:rsid w:val="005060AE"/>
    <w:rsid w:val="00507173"/>
    <w:rsid w:val="0050753F"/>
    <w:rsid w:val="00507563"/>
    <w:rsid w:val="005075B6"/>
    <w:rsid w:val="00513BC3"/>
    <w:rsid w:val="00513D91"/>
    <w:rsid w:val="00516D23"/>
    <w:rsid w:val="0051737D"/>
    <w:rsid w:val="00517C4D"/>
    <w:rsid w:val="005224E4"/>
    <w:rsid w:val="005238E9"/>
    <w:rsid w:val="00524173"/>
    <w:rsid w:val="005250A2"/>
    <w:rsid w:val="00525130"/>
    <w:rsid w:val="00525F32"/>
    <w:rsid w:val="0052611B"/>
    <w:rsid w:val="005265B1"/>
    <w:rsid w:val="00530870"/>
    <w:rsid w:val="00531365"/>
    <w:rsid w:val="00531E90"/>
    <w:rsid w:val="0053341D"/>
    <w:rsid w:val="00533833"/>
    <w:rsid w:val="0053482E"/>
    <w:rsid w:val="00536CB1"/>
    <w:rsid w:val="00537929"/>
    <w:rsid w:val="00537980"/>
    <w:rsid w:val="00537F0E"/>
    <w:rsid w:val="005402E6"/>
    <w:rsid w:val="00540662"/>
    <w:rsid w:val="00541459"/>
    <w:rsid w:val="00542260"/>
    <w:rsid w:val="005436F9"/>
    <w:rsid w:val="00543EC1"/>
    <w:rsid w:val="00546971"/>
    <w:rsid w:val="005476EE"/>
    <w:rsid w:val="00547CD4"/>
    <w:rsid w:val="005526D9"/>
    <w:rsid w:val="0055394F"/>
    <w:rsid w:val="00553D68"/>
    <w:rsid w:val="0055422B"/>
    <w:rsid w:val="0055694C"/>
    <w:rsid w:val="00557B37"/>
    <w:rsid w:val="00557F87"/>
    <w:rsid w:val="0056109A"/>
    <w:rsid w:val="00561196"/>
    <w:rsid w:val="0056215C"/>
    <w:rsid w:val="00562375"/>
    <w:rsid w:val="00562DF0"/>
    <w:rsid w:val="00563E0D"/>
    <w:rsid w:val="00563E76"/>
    <w:rsid w:val="0056487B"/>
    <w:rsid w:val="005649DE"/>
    <w:rsid w:val="00565726"/>
    <w:rsid w:val="00565D97"/>
    <w:rsid w:val="00566F47"/>
    <w:rsid w:val="00567624"/>
    <w:rsid w:val="00570220"/>
    <w:rsid w:val="00570615"/>
    <w:rsid w:val="00570A99"/>
    <w:rsid w:val="00572F3F"/>
    <w:rsid w:val="005745C8"/>
    <w:rsid w:val="0057659D"/>
    <w:rsid w:val="005773F8"/>
    <w:rsid w:val="00577D1C"/>
    <w:rsid w:val="0058490C"/>
    <w:rsid w:val="00584DD7"/>
    <w:rsid w:val="005856CA"/>
    <w:rsid w:val="0058649B"/>
    <w:rsid w:val="00586F7D"/>
    <w:rsid w:val="00587384"/>
    <w:rsid w:val="0059080F"/>
    <w:rsid w:val="00590DCB"/>
    <w:rsid w:val="00592E5E"/>
    <w:rsid w:val="00593558"/>
    <w:rsid w:val="00593A93"/>
    <w:rsid w:val="00593E7B"/>
    <w:rsid w:val="00594504"/>
    <w:rsid w:val="005945E9"/>
    <w:rsid w:val="00594BF0"/>
    <w:rsid w:val="005958D9"/>
    <w:rsid w:val="00597676"/>
    <w:rsid w:val="005A124F"/>
    <w:rsid w:val="005A141E"/>
    <w:rsid w:val="005A24C8"/>
    <w:rsid w:val="005A2A42"/>
    <w:rsid w:val="005A2F06"/>
    <w:rsid w:val="005A39BA"/>
    <w:rsid w:val="005A44E8"/>
    <w:rsid w:val="005A53FA"/>
    <w:rsid w:val="005A7212"/>
    <w:rsid w:val="005A7C13"/>
    <w:rsid w:val="005B0233"/>
    <w:rsid w:val="005B180E"/>
    <w:rsid w:val="005B1E93"/>
    <w:rsid w:val="005B455A"/>
    <w:rsid w:val="005B4A5F"/>
    <w:rsid w:val="005B4B01"/>
    <w:rsid w:val="005B6852"/>
    <w:rsid w:val="005C066F"/>
    <w:rsid w:val="005C0FD4"/>
    <w:rsid w:val="005C11B1"/>
    <w:rsid w:val="005C16D7"/>
    <w:rsid w:val="005C201C"/>
    <w:rsid w:val="005C2114"/>
    <w:rsid w:val="005C32B4"/>
    <w:rsid w:val="005C3B67"/>
    <w:rsid w:val="005C66F5"/>
    <w:rsid w:val="005C7FB5"/>
    <w:rsid w:val="005D0FA0"/>
    <w:rsid w:val="005D1B5B"/>
    <w:rsid w:val="005D29DE"/>
    <w:rsid w:val="005D2C26"/>
    <w:rsid w:val="005D3744"/>
    <w:rsid w:val="005D45EE"/>
    <w:rsid w:val="005D5E8D"/>
    <w:rsid w:val="005D60BB"/>
    <w:rsid w:val="005D6598"/>
    <w:rsid w:val="005D7837"/>
    <w:rsid w:val="005D7A8C"/>
    <w:rsid w:val="005D7E0E"/>
    <w:rsid w:val="005E02CE"/>
    <w:rsid w:val="005E0649"/>
    <w:rsid w:val="005E0EAD"/>
    <w:rsid w:val="005E3DC1"/>
    <w:rsid w:val="005E4CAE"/>
    <w:rsid w:val="005E4EF7"/>
    <w:rsid w:val="005E566A"/>
    <w:rsid w:val="005E61B4"/>
    <w:rsid w:val="005E6357"/>
    <w:rsid w:val="005E6999"/>
    <w:rsid w:val="005E6CFC"/>
    <w:rsid w:val="005E7995"/>
    <w:rsid w:val="005E7D32"/>
    <w:rsid w:val="005F07CB"/>
    <w:rsid w:val="005F0D69"/>
    <w:rsid w:val="005F36C7"/>
    <w:rsid w:val="005F3F76"/>
    <w:rsid w:val="005F437E"/>
    <w:rsid w:val="005F505E"/>
    <w:rsid w:val="005F5A96"/>
    <w:rsid w:val="005F5CE2"/>
    <w:rsid w:val="005F6347"/>
    <w:rsid w:val="0060278D"/>
    <w:rsid w:val="00604A5F"/>
    <w:rsid w:val="00605A53"/>
    <w:rsid w:val="00605CDD"/>
    <w:rsid w:val="006062B0"/>
    <w:rsid w:val="00610294"/>
    <w:rsid w:val="00611CAC"/>
    <w:rsid w:val="00612D94"/>
    <w:rsid w:val="00612E84"/>
    <w:rsid w:val="00612EEA"/>
    <w:rsid w:val="00613772"/>
    <w:rsid w:val="00614534"/>
    <w:rsid w:val="00615428"/>
    <w:rsid w:val="0061589B"/>
    <w:rsid w:val="00616161"/>
    <w:rsid w:val="00616279"/>
    <w:rsid w:val="006169F9"/>
    <w:rsid w:val="0061727A"/>
    <w:rsid w:val="00620044"/>
    <w:rsid w:val="0062061B"/>
    <w:rsid w:val="00620E09"/>
    <w:rsid w:val="0062353A"/>
    <w:rsid w:val="00623893"/>
    <w:rsid w:val="00623DE4"/>
    <w:rsid w:val="0062409F"/>
    <w:rsid w:val="006240C9"/>
    <w:rsid w:val="00624C76"/>
    <w:rsid w:val="006321D3"/>
    <w:rsid w:val="0063222E"/>
    <w:rsid w:val="00632F5B"/>
    <w:rsid w:val="00637432"/>
    <w:rsid w:val="006403CD"/>
    <w:rsid w:val="0064173C"/>
    <w:rsid w:val="006429BE"/>
    <w:rsid w:val="00642A79"/>
    <w:rsid w:val="00642A9D"/>
    <w:rsid w:val="00643F8B"/>
    <w:rsid w:val="006449F3"/>
    <w:rsid w:val="00644D9E"/>
    <w:rsid w:val="00645739"/>
    <w:rsid w:val="00647A42"/>
    <w:rsid w:val="0065090C"/>
    <w:rsid w:val="00650B4E"/>
    <w:rsid w:val="00651B1E"/>
    <w:rsid w:val="0065202F"/>
    <w:rsid w:val="00652F00"/>
    <w:rsid w:val="006531DC"/>
    <w:rsid w:val="00654EF9"/>
    <w:rsid w:val="00655925"/>
    <w:rsid w:val="00656673"/>
    <w:rsid w:val="00656AE8"/>
    <w:rsid w:val="00656F0F"/>
    <w:rsid w:val="006605A9"/>
    <w:rsid w:val="00660AE5"/>
    <w:rsid w:val="00661220"/>
    <w:rsid w:val="006622A3"/>
    <w:rsid w:val="00663F49"/>
    <w:rsid w:val="00664CBE"/>
    <w:rsid w:val="0066513F"/>
    <w:rsid w:val="00665199"/>
    <w:rsid w:val="006651A5"/>
    <w:rsid w:val="00666972"/>
    <w:rsid w:val="00666A0E"/>
    <w:rsid w:val="00666AE4"/>
    <w:rsid w:val="00670177"/>
    <w:rsid w:val="00672714"/>
    <w:rsid w:val="00672889"/>
    <w:rsid w:val="006731A2"/>
    <w:rsid w:val="0067387D"/>
    <w:rsid w:val="0067397C"/>
    <w:rsid w:val="0068030B"/>
    <w:rsid w:val="006804BF"/>
    <w:rsid w:val="006833C0"/>
    <w:rsid w:val="00683E45"/>
    <w:rsid w:val="006841C8"/>
    <w:rsid w:val="0068510A"/>
    <w:rsid w:val="00686664"/>
    <w:rsid w:val="006902DE"/>
    <w:rsid w:val="006916C1"/>
    <w:rsid w:val="00691CB6"/>
    <w:rsid w:val="00693CF7"/>
    <w:rsid w:val="00693F54"/>
    <w:rsid w:val="006947A5"/>
    <w:rsid w:val="00694B26"/>
    <w:rsid w:val="006966AA"/>
    <w:rsid w:val="006967E7"/>
    <w:rsid w:val="006973C9"/>
    <w:rsid w:val="006A4933"/>
    <w:rsid w:val="006B0620"/>
    <w:rsid w:val="006B0B6F"/>
    <w:rsid w:val="006B117F"/>
    <w:rsid w:val="006B28AD"/>
    <w:rsid w:val="006B2AB6"/>
    <w:rsid w:val="006B3256"/>
    <w:rsid w:val="006B34BF"/>
    <w:rsid w:val="006B3A5C"/>
    <w:rsid w:val="006B4885"/>
    <w:rsid w:val="006B5DA6"/>
    <w:rsid w:val="006B7769"/>
    <w:rsid w:val="006B7B5B"/>
    <w:rsid w:val="006C157B"/>
    <w:rsid w:val="006C1C08"/>
    <w:rsid w:val="006C1DEA"/>
    <w:rsid w:val="006C2949"/>
    <w:rsid w:val="006C2A43"/>
    <w:rsid w:val="006C43F5"/>
    <w:rsid w:val="006C46BD"/>
    <w:rsid w:val="006C4A69"/>
    <w:rsid w:val="006C6662"/>
    <w:rsid w:val="006C6B1F"/>
    <w:rsid w:val="006C7947"/>
    <w:rsid w:val="006D1C4A"/>
    <w:rsid w:val="006D2E38"/>
    <w:rsid w:val="006D35E0"/>
    <w:rsid w:val="006D3B3F"/>
    <w:rsid w:val="006D4396"/>
    <w:rsid w:val="006D766A"/>
    <w:rsid w:val="006D7822"/>
    <w:rsid w:val="006E0789"/>
    <w:rsid w:val="006E11BB"/>
    <w:rsid w:val="006E20D0"/>
    <w:rsid w:val="006E2528"/>
    <w:rsid w:val="006E37B1"/>
    <w:rsid w:val="006E3D32"/>
    <w:rsid w:val="006E5543"/>
    <w:rsid w:val="006E6E6A"/>
    <w:rsid w:val="006E6FE3"/>
    <w:rsid w:val="006F0695"/>
    <w:rsid w:val="006F2488"/>
    <w:rsid w:val="006F2E6F"/>
    <w:rsid w:val="006F2F10"/>
    <w:rsid w:val="006F328F"/>
    <w:rsid w:val="006F3ADE"/>
    <w:rsid w:val="006F3EB1"/>
    <w:rsid w:val="006F5059"/>
    <w:rsid w:val="006F74A2"/>
    <w:rsid w:val="00701376"/>
    <w:rsid w:val="00702AFF"/>
    <w:rsid w:val="0070445F"/>
    <w:rsid w:val="00705B98"/>
    <w:rsid w:val="00706108"/>
    <w:rsid w:val="007069CE"/>
    <w:rsid w:val="00706CE3"/>
    <w:rsid w:val="007107E6"/>
    <w:rsid w:val="00711424"/>
    <w:rsid w:val="00711E1C"/>
    <w:rsid w:val="007135CF"/>
    <w:rsid w:val="00715B21"/>
    <w:rsid w:val="00715F4D"/>
    <w:rsid w:val="00717A16"/>
    <w:rsid w:val="00717FCF"/>
    <w:rsid w:val="007210BA"/>
    <w:rsid w:val="007235DB"/>
    <w:rsid w:val="00725147"/>
    <w:rsid w:val="007251E7"/>
    <w:rsid w:val="007255E0"/>
    <w:rsid w:val="00730C0B"/>
    <w:rsid w:val="00730E95"/>
    <w:rsid w:val="00731206"/>
    <w:rsid w:val="00731646"/>
    <w:rsid w:val="00731696"/>
    <w:rsid w:val="0073321F"/>
    <w:rsid w:val="00734027"/>
    <w:rsid w:val="00736423"/>
    <w:rsid w:val="00737BCC"/>
    <w:rsid w:val="007404F5"/>
    <w:rsid w:val="0074202F"/>
    <w:rsid w:val="007429E6"/>
    <w:rsid w:val="00742EF6"/>
    <w:rsid w:val="007431B4"/>
    <w:rsid w:val="00743D97"/>
    <w:rsid w:val="00747C50"/>
    <w:rsid w:val="0075084F"/>
    <w:rsid w:val="00750F72"/>
    <w:rsid w:val="00753FD8"/>
    <w:rsid w:val="007547C9"/>
    <w:rsid w:val="00754918"/>
    <w:rsid w:val="0075530A"/>
    <w:rsid w:val="0075653F"/>
    <w:rsid w:val="00756D58"/>
    <w:rsid w:val="00760A4F"/>
    <w:rsid w:val="00760E1E"/>
    <w:rsid w:val="0076217C"/>
    <w:rsid w:val="0076248B"/>
    <w:rsid w:val="00762529"/>
    <w:rsid w:val="007627E4"/>
    <w:rsid w:val="00762AB3"/>
    <w:rsid w:val="00764D78"/>
    <w:rsid w:val="00764FAB"/>
    <w:rsid w:val="00765139"/>
    <w:rsid w:val="007672AD"/>
    <w:rsid w:val="00767E65"/>
    <w:rsid w:val="007716AC"/>
    <w:rsid w:val="00771840"/>
    <w:rsid w:val="007727F9"/>
    <w:rsid w:val="00773268"/>
    <w:rsid w:val="00773725"/>
    <w:rsid w:val="00774F02"/>
    <w:rsid w:val="007757BC"/>
    <w:rsid w:val="0077595F"/>
    <w:rsid w:val="00776D05"/>
    <w:rsid w:val="00777161"/>
    <w:rsid w:val="00780675"/>
    <w:rsid w:val="00784B4E"/>
    <w:rsid w:val="00785B7A"/>
    <w:rsid w:val="00785C18"/>
    <w:rsid w:val="0078648D"/>
    <w:rsid w:val="00787AAC"/>
    <w:rsid w:val="00787F71"/>
    <w:rsid w:val="007918E5"/>
    <w:rsid w:val="0079227C"/>
    <w:rsid w:val="007948E2"/>
    <w:rsid w:val="0079657C"/>
    <w:rsid w:val="00796D04"/>
    <w:rsid w:val="0079799B"/>
    <w:rsid w:val="007A0A1E"/>
    <w:rsid w:val="007A0E54"/>
    <w:rsid w:val="007A0F16"/>
    <w:rsid w:val="007A288D"/>
    <w:rsid w:val="007A3E20"/>
    <w:rsid w:val="007A4770"/>
    <w:rsid w:val="007A4EB5"/>
    <w:rsid w:val="007A7775"/>
    <w:rsid w:val="007A77DD"/>
    <w:rsid w:val="007A77FB"/>
    <w:rsid w:val="007B0955"/>
    <w:rsid w:val="007B30D2"/>
    <w:rsid w:val="007B347D"/>
    <w:rsid w:val="007B3827"/>
    <w:rsid w:val="007B66F6"/>
    <w:rsid w:val="007B7232"/>
    <w:rsid w:val="007B7AE4"/>
    <w:rsid w:val="007C0202"/>
    <w:rsid w:val="007C03E1"/>
    <w:rsid w:val="007C07EA"/>
    <w:rsid w:val="007C198E"/>
    <w:rsid w:val="007C1A63"/>
    <w:rsid w:val="007C1AA2"/>
    <w:rsid w:val="007C1CCF"/>
    <w:rsid w:val="007C2BF7"/>
    <w:rsid w:val="007C2F7E"/>
    <w:rsid w:val="007C5093"/>
    <w:rsid w:val="007C543D"/>
    <w:rsid w:val="007C7964"/>
    <w:rsid w:val="007C7A7B"/>
    <w:rsid w:val="007D1557"/>
    <w:rsid w:val="007D26E9"/>
    <w:rsid w:val="007D2A63"/>
    <w:rsid w:val="007D3566"/>
    <w:rsid w:val="007D3DA1"/>
    <w:rsid w:val="007D52FE"/>
    <w:rsid w:val="007D5543"/>
    <w:rsid w:val="007D5871"/>
    <w:rsid w:val="007D69A5"/>
    <w:rsid w:val="007E11C3"/>
    <w:rsid w:val="007E1483"/>
    <w:rsid w:val="007E15A9"/>
    <w:rsid w:val="007E16C8"/>
    <w:rsid w:val="007E16F1"/>
    <w:rsid w:val="007E2679"/>
    <w:rsid w:val="007E3120"/>
    <w:rsid w:val="007E38B5"/>
    <w:rsid w:val="007E3D1D"/>
    <w:rsid w:val="007E50E5"/>
    <w:rsid w:val="007E5886"/>
    <w:rsid w:val="007E6DA1"/>
    <w:rsid w:val="007E6E19"/>
    <w:rsid w:val="007E6EF4"/>
    <w:rsid w:val="007E737D"/>
    <w:rsid w:val="007F1637"/>
    <w:rsid w:val="007F2452"/>
    <w:rsid w:val="007F410B"/>
    <w:rsid w:val="007F490B"/>
    <w:rsid w:val="007F5035"/>
    <w:rsid w:val="007F5A93"/>
    <w:rsid w:val="007F6261"/>
    <w:rsid w:val="007F70CA"/>
    <w:rsid w:val="008019CC"/>
    <w:rsid w:val="00801F36"/>
    <w:rsid w:val="008020AF"/>
    <w:rsid w:val="008021E8"/>
    <w:rsid w:val="0080487F"/>
    <w:rsid w:val="00804EB2"/>
    <w:rsid w:val="00807ECA"/>
    <w:rsid w:val="00811441"/>
    <w:rsid w:val="00811A4F"/>
    <w:rsid w:val="00811C23"/>
    <w:rsid w:val="008122E7"/>
    <w:rsid w:val="00812730"/>
    <w:rsid w:val="0081394D"/>
    <w:rsid w:val="00814666"/>
    <w:rsid w:val="00814941"/>
    <w:rsid w:val="00815F25"/>
    <w:rsid w:val="008170E8"/>
    <w:rsid w:val="008177C2"/>
    <w:rsid w:val="00817DF4"/>
    <w:rsid w:val="0082119E"/>
    <w:rsid w:val="00823209"/>
    <w:rsid w:val="00823973"/>
    <w:rsid w:val="008256EC"/>
    <w:rsid w:val="0082669A"/>
    <w:rsid w:val="008319C0"/>
    <w:rsid w:val="00832474"/>
    <w:rsid w:val="00832A71"/>
    <w:rsid w:val="00833F9C"/>
    <w:rsid w:val="008340E3"/>
    <w:rsid w:val="0083563E"/>
    <w:rsid w:val="0083579A"/>
    <w:rsid w:val="0083581F"/>
    <w:rsid w:val="00837CCB"/>
    <w:rsid w:val="008406F8"/>
    <w:rsid w:val="00840CD0"/>
    <w:rsid w:val="00840E12"/>
    <w:rsid w:val="0084295E"/>
    <w:rsid w:val="00843033"/>
    <w:rsid w:val="00843993"/>
    <w:rsid w:val="00843C70"/>
    <w:rsid w:val="00845749"/>
    <w:rsid w:val="0085061B"/>
    <w:rsid w:val="0085255B"/>
    <w:rsid w:val="008531FD"/>
    <w:rsid w:val="0085366C"/>
    <w:rsid w:val="00854BC7"/>
    <w:rsid w:val="00856B44"/>
    <w:rsid w:val="008578C0"/>
    <w:rsid w:val="008608BA"/>
    <w:rsid w:val="00861226"/>
    <w:rsid w:val="008614D4"/>
    <w:rsid w:val="00863298"/>
    <w:rsid w:val="008635B6"/>
    <w:rsid w:val="008642AC"/>
    <w:rsid w:val="0086447B"/>
    <w:rsid w:val="00864F99"/>
    <w:rsid w:val="00870022"/>
    <w:rsid w:val="0087081A"/>
    <w:rsid w:val="00871902"/>
    <w:rsid w:val="00872B20"/>
    <w:rsid w:val="00874297"/>
    <w:rsid w:val="00874390"/>
    <w:rsid w:val="008775A8"/>
    <w:rsid w:val="0087796A"/>
    <w:rsid w:val="00880726"/>
    <w:rsid w:val="00880E7C"/>
    <w:rsid w:val="008813C3"/>
    <w:rsid w:val="00882EFE"/>
    <w:rsid w:val="0088318E"/>
    <w:rsid w:val="008833D1"/>
    <w:rsid w:val="00884AA1"/>
    <w:rsid w:val="008855A9"/>
    <w:rsid w:val="00885650"/>
    <w:rsid w:val="008902E6"/>
    <w:rsid w:val="00890B04"/>
    <w:rsid w:val="00891A03"/>
    <w:rsid w:val="00893241"/>
    <w:rsid w:val="00896B66"/>
    <w:rsid w:val="008A0816"/>
    <w:rsid w:val="008A39EB"/>
    <w:rsid w:val="008A3BB1"/>
    <w:rsid w:val="008A44DF"/>
    <w:rsid w:val="008A5A1B"/>
    <w:rsid w:val="008A641C"/>
    <w:rsid w:val="008A7FD9"/>
    <w:rsid w:val="008B08D5"/>
    <w:rsid w:val="008B0AC2"/>
    <w:rsid w:val="008B0DE5"/>
    <w:rsid w:val="008B46DC"/>
    <w:rsid w:val="008B7114"/>
    <w:rsid w:val="008B7555"/>
    <w:rsid w:val="008C00AD"/>
    <w:rsid w:val="008C0F1F"/>
    <w:rsid w:val="008C1118"/>
    <w:rsid w:val="008C14AD"/>
    <w:rsid w:val="008C27BA"/>
    <w:rsid w:val="008C4611"/>
    <w:rsid w:val="008C47AA"/>
    <w:rsid w:val="008C5099"/>
    <w:rsid w:val="008C516E"/>
    <w:rsid w:val="008C5933"/>
    <w:rsid w:val="008C7ECE"/>
    <w:rsid w:val="008D0150"/>
    <w:rsid w:val="008D2412"/>
    <w:rsid w:val="008D249B"/>
    <w:rsid w:val="008D2BE4"/>
    <w:rsid w:val="008D34EA"/>
    <w:rsid w:val="008D3BE3"/>
    <w:rsid w:val="008D5929"/>
    <w:rsid w:val="008D69C2"/>
    <w:rsid w:val="008D7259"/>
    <w:rsid w:val="008D777A"/>
    <w:rsid w:val="008D7CAE"/>
    <w:rsid w:val="008D7D95"/>
    <w:rsid w:val="008E03CB"/>
    <w:rsid w:val="008E591E"/>
    <w:rsid w:val="008E5CA5"/>
    <w:rsid w:val="008E7EB2"/>
    <w:rsid w:val="008F29E6"/>
    <w:rsid w:val="008F5609"/>
    <w:rsid w:val="008F66C4"/>
    <w:rsid w:val="008F68D1"/>
    <w:rsid w:val="008F7824"/>
    <w:rsid w:val="008F78A9"/>
    <w:rsid w:val="0090000A"/>
    <w:rsid w:val="00900D99"/>
    <w:rsid w:val="00902267"/>
    <w:rsid w:val="009032E5"/>
    <w:rsid w:val="00903AB8"/>
    <w:rsid w:val="00905A13"/>
    <w:rsid w:val="00905C6F"/>
    <w:rsid w:val="00905D39"/>
    <w:rsid w:val="00906200"/>
    <w:rsid w:val="00906F15"/>
    <w:rsid w:val="009072E6"/>
    <w:rsid w:val="00910A87"/>
    <w:rsid w:val="0091144D"/>
    <w:rsid w:val="00912D63"/>
    <w:rsid w:val="00913E32"/>
    <w:rsid w:val="00914075"/>
    <w:rsid w:val="00920740"/>
    <w:rsid w:val="00920D48"/>
    <w:rsid w:val="009226ED"/>
    <w:rsid w:val="00923F60"/>
    <w:rsid w:val="00924A78"/>
    <w:rsid w:val="00925087"/>
    <w:rsid w:val="009257E1"/>
    <w:rsid w:val="00926C82"/>
    <w:rsid w:val="00927AED"/>
    <w:rsid w:val="009308DD"/>
    <w:rsid w:val="00930E9F"/>
    <w:rsid w:val="009311D3"/>
    <w:rsid w:val="0093161E"/>
    <w:rsid w:val="009320F7"/>
    <w:rsid w:val="00932BB8"/>
    <w:rsid w:val="00935FE3"/>
    <w:rsid w:val="009402EF"/>
    <w:rsid w:val="0094126F"/>
    <w:rsid w:val="009429CC"/>
    <w:rsid w:val="00943CEE"/>
    <w:rsid w:val="0094413F"/>
    <w:rsid w:val="00944705"/>
    <w:rsid w:val="0094478F"/>
    <w:rsid w:val="00945357"/>
    <w:rsid w:val="0094548A"/>
    <w:rsid w:val="0094621F"/>
    <w:rsid w:val="00950010"/>
    <w:rsid w:val="00953DE0"/>
    <w:rsid w:val="0095577F"/>
    <w:rsid w:val="00955A49"/>
    <w:rsid w:val="0095706D"/>
    <w:rsid w:val="00957BE4"/>
    <w:rsid w:val="00960585"/>
    <w:rsid w:val="00961182"/>
    <w:rsid w:val="0096402C"/>
    <w:rsid w:val="0096452B"/>
    <w:rsid w:val="00965F45"/>
    <w:rsid w:val="00967260"/>
    <w:rsid w:val="0096731C"/>
    <w:rsid w:val="009673BA"/>
    <w:rsid w:val="009673EF"/>
    <w:rsid w:val="00970C55"/>
    <w:rsid w:val="00971BCF"/>
    <w:rsid w:val="009725F1"/>
    <w:rsid w:val="00972C56"/>
    <w:rsid w:val="009743D0"/>
    <w:rsid w:val="00974F57"/>
    <w:rsid w:val="00977C51"/>
    <w:rsid w:val="00980015"/>
    <w:rsid w:val="009811E7"/>
    <w:rsid w:val="00981FEE"/>
    <w:rsid w:val="0098352D"/>
    <w:rsid w:val="009851A8"/>
    <w:rsid w:val="009875CF"/>
    <w:rsid w:val="00987D15"/>
    <w:rsid w:val="009906ED"/>
    <w:rsid w:val="009918DA"/>
    <w:rsid w:val="00991AC5"/>
    <w:rsid w:val="00991C70"/>
    <w:rsid w:val="00992B65"/>
    <w:rsid w:val="00993E2C"/>
    <w:rsid w:val="00995CD7"/>
    <w:rsid w:val="009A0483"/>
    <w:rsid w:val="009A0E4E"/>
    <w:rsid w:val="009A129B"/>
    <w:rsid w:val="009A1529"/>
    <w:rsid w:val="009A1DCA"/>
    <w:rsid w:val="009A325D"/>
    <w:rsid w:val="009A3325"/>
    <w:rsid w:val="009A3AE1"/>
    <w:rsid w:val="009A544A"/>
    <w:rsid w:val="009A6BCE"/>
    <w:rsid w:val="009A6D6F"/>
    <w:rsid w:val="009A6E24"/>
    <w:rsid w:val="009B02B8"/>
    <w:rsid w:val="009B3957"/>
    <w:rsid w:val="009B3EC2"/>
    <w:rsid w:val="009B4C01"/>
    <w:rsid w:val="009B5307"/>
    <w:rsid w:val="009B56EE"/>
    <w:rsid w:val="009B5F39"/>
    <w:rsid w:val="009B6F16"/>
    <w:rsid w:val="009C0193"/>
    <w:rsid w:val="009C12A5"/>
    <w:rsid w:val="009C1AE4"/>
    <w:rsid w:val="009C7492"/>
    <w:rsid w:val="009C7F34"/>
    <w:rsid w:val="009D01B9"/>
    <w:rsid w:val="009D0708"/>
    <w:rsid w:val="009D08BF"/>
    <w:rsid w:val="009D0C5F"/>
    <w:rsid w:val="009D1367"/>
    <w:rsid w:val="009D2871"/>
    <w:rsid w:val="009D306F"/>
    <w:rsid w:val="009D32C8"/>
    <w:rsid w:val="009D3492"/>
    <w:rsid w:val="009D36CC"/>
    <w:rsid w:val="009D3870"/>
    <w:rsid w:val="009D3FFA"/>
    <w:rsid w:val="009D5846"/>
    <w:rsid w:val="009D5969"/>
    <w:rsid w:val="009D601F"/>
    <w:rsid w:val="009E3299"/>
    <w:rsid w:val="009E37FB"/>
    <w:rsid w:val="009E46D5"/>
    <w:rsid w:val="009E58A5"/>
    <w:rsid w:val="009E6165"/>
    <w:rsid w:val="009E70AC"/>
    <w:rsid w:val="009F0093"/>
    <w:rsid w:val="009F4480"/>
    <w:rsid w:val="009F6F9D"/>
    <w:rsid w:val="009F7AC3"/>
    <w:rsid w:val="009F7E95"/>
    <w:rsid w:val="00A00475"/>
    <w:rsid w:val="00A00648"/>
    <w:rsid w:val="00A01C3D"/>
    <w:rsid w:val="00A02C2F"/>
    <w:rsid w:val="00A03EE6"/>
    <w:rsid w:val="00A04680"/>
    <w:rsid w:val="00A05BB3"/>
    <w:rsid w:val="00A05FAA"/>
    <w:rsid w:val="00A063CF"/>
    <w:rsid w:val="00A065F3"/>
    <w:rsid w:val="00A10628"/>
    <w:rsid w:val="00A11DF5"/>
    <w:rsid w:val="00A12C43"/>
    <w:rsid w:val="00A136E3"/>
    <w:rsid w:val="00A13DB7"/>
    <w:rsid w:val="00A14101"/>
    <w:rsid w:val="00A151D5"/>
    <w:rsid w:val="00A166DB"/>
    <w:rsid w:val="00A16E25"/>
    <w:rsid w:val="00A16EAF"/>
    <w:rsid w:val="00A2154E"/>
    <w:rsid w:val="00A22AF3"/>
    <w:rsid w:val="00A230CA"/>
    <w:rsid w:val="00A2346F"/>
    <w:rsid w:val="00A2380A"/>
    <w:rsid w:val="00A24381"/>
    <w:rsid w:val="00A26779"/>
    <w:rsid w:val="00A2723F"/>
    <w:rsid w:val="00A3125D"/>
    <w:rsid w:val="00A31874"/>
    <w:rsid w:val="00A31ACD"/>
    <w:rsid w:val="00A31F3D"/>
    <w:rsid w:val="00A33473"/>
    <w:rsid w:val="00A33B26"/>
    <w:rsid w:val="00A34414"/>
    <w:rsid w:val="00A35237"/>
    <w:rsid w:val="00A36D55"/>
    <w:rsid w:val="00A3777B"/>
    <w:rsid w:val="00A405C2"/>
    <w:rsid w:val="00A4288D"/>
    <w:rsid w:val="00A450EF"/>
    <w:rsid w:val="00A45D7F"/>
    <w:rsid w:val="00A4693D"/>
    <w:rsid w:val="00A47EE3"/>
    <w:rsid w:val="00A5186F"/>
    <w:rsid w:val="00A52EDB"/>
    <w:rsid w:val="00A53EF0"/>
    <w:rsid w:val="00A560F5"/>
    <w:rsid w:val="00A56419"/>
    <w:rsid w:val="00A56E8C"/>
    <w:rsid w:val="00A57143"/>
    <w:rsid w:val="00A572CD"/>
    <w:rsid w:val="00A57B6D"/>
    <w:rsid w:val="00A61C22"/>
    <w:rsid w:val="00A635C7"/>
    <w:rsid w:val="00A63784"/>
    <w:rsid w:val="00A64E74"/>
    <w:rsid w:val="00A651FE"/>
    <w:rsid w:val="00A66FE5"/>
    <w:rsid w:val="00A67DC0"/>
    <w:rsid w:val="00A70623"/>
    <w:rsid w:val="00A706A5"/>
    <w:rsid w:val="00A70A24"/>
    <w:rsid w:val="00A713B9"/>
    <w:rsid w:val="00A71C7A"/>
    <w:rsid w:val="00A74459"/>
    <w:rsid w:val="00A746CE"/>
    <w:rsid w:val="00A76C75"/>
    <w:rsid w:val="00A77E31"/>
    <w:rsid w:val="00A814C4"/>
    <w:rsid w:val="00A83A33"/>
    <w:rsid w:val="00A842A9"/>
    <w:rsid w:val="00A84F0B"/>
    <w:rsid w:val="00A85312"/>
    <w:rsid w:val="00A853B6"/>
    <w:rsid w:val="00A85C13"/>
    <w:rsid w:val="00A85EBD"/>
    <w:rsid w:val="00A86110"/>
    <w:rsid w:val="00A8641A"/>
    <w:rsid w:val="00A86574"/>
    <w:rsid w:val="00A869ED"/>
    <w:rsid w:val="00A90ADF"/>
    <w:rsid w:val="00A90CCB"/>
    <w:rsid w:val="00A90FDF"/>
    <w:rsid w:val="00A91675"/>
    <w:rsid w:val="00A93199"/>
    <w:rsid w:val="00A93730"/>
    <w:rsid w:val="00A95CCF"/>
    <w:rsid w:val="00A967A4"/>
    <w:rsid w:val="00AA1322"/>
    <w:rsid w:val="00AA3E79"/>
    <w:rsid w:val="00AA4827"/>
    <w:rsid w:val="00AA4F01"/>
    <w:rsid w:val="00AA7581"/>
    <w:rsid w:val="00AA7653"/>
    <w:rsid w:val="00AB1096"/>
    <w:rsid w:val="00AB19B1"/>
    <w:rsid w:val="00AB1B90"/>
    <w:rsid w:val="00AB2891"/>
    <w:rsid w:val="00AB5566"/>
    <w:rsid w:val="00AB5EB7"/>
    <w:rsid w:val="00AB63E6"/>
    <w:rsid w:val="00AB6CFB"/>
    <w:rsid w:val="00AB7E4A"/>
    <w:rsid w:val="00AC07A1"/>
    <w:rsid w:val="00AC1CE8"/>
    <w:rsid w:val="00AC1D1E"/>
    <w:rsid w:val="00AC1FC1"/>
    <w:rsid w:val="00AC23C4"/>
    <w:rsid w:val="00AC29A9"/>
    <w:rsid w:val="00AC2BF2"/>
    <w:rsid w:val="00AC5BC6"/>
    <w:rsid w:val="00AC661C"/>
    <w:rsid w:val="00AC6AE9"/>
    <w:rsid w:val="00AC7061"/>
    <w:rsid w:val="00AD0D76"/>
    <w:rsid w:val="00AD2766"/>
    <w:rsid w:val="00AD2EE5"/>
    <w:rsid w:val="00AD365A"/>
    <w:rsid w:val="00AD3E9B"/>
    <w:rsid w:val="00AD41EA"/>
    <w:rsid w:val="00AD4325"/>
    <w:rsid w:val="00AD4473"/>
    <w:rsid w:val="00AD48C5"/>
    <w:rsid w:val="00AD6295"/>
    <w:rsid w:val="00AD7608"/>
    <w:rsid w:val="00AE0A23"/>
    <w:rsid w:val="00AE2DFA"/>
    <w:rsid w:val="00AE3DDA"/>
    <w:rsid w:val="00AE4525"/>
    <w:rsid w:val="00AE679C"/>
    <w:rsid w:val="00AF1B09"/>
    <w:rsid w:val="00AF1BB2"/>
    <w:rsid w:val="00AF2E1E"/>
    <w:rsid w:val="00AF5B11"/>
    <w:rsid w:val="00B0131F"/>
    <w:rsid w:val="00B02634"/>
    <w:rsid w:val="00B02A91"/>
    <w:rsid w:val="00B02C18"/>
    <w:rsid w:val="00B05132"/>
    <w:rsid w:val="00B063EB"/>
    <w:rsid w:val="00B06C4E"/>
    <w:rsid w:val="00B07389"/>
    <w:rsid w:val="00B07591"/>
    <w:rsid w:val="00B0759A"/>
    <w:rsid w:val="00B111B8"/>
    <w:rsid w:val="00B121BA"/>
    <w:rsid w:val="00B129EB"/>
    <w:rsid w:val="00B1414C"/>
    <w:rsid w:val="00B14364"/>
    <w:rsid w:val="00B166C5"/>
    <w:rsid w:val="00B17722"/>
    <w:rsid w:val="00B17E0C"/>
    <w:rsid w:val="00B2016B"/>
    <w:rsid w:val="00B23617"/>
    <w:rsid w:val="00B238F4"/>
    <w:rsid w:val="00B2468B"/>
    <w:rsid w:val="00B26D21"/>
    <w:rsid w:val="00B32047"/>
    <w:rsid w:val="00B32C95"/>
    <w:rsid w:val="00B340D0"/>
    <w:rsid w:val="00B345D3"/>
    <w:rsid w:val="00B34C8D"/>
    <w:rsid w:val="00B35D77"/>
    <w:rsid w:val="00B36035"/>
    <w:rsid w:val="00B401AD"/>
    <w:rsid w:val="00B40B35"/>
    <w:rsid w:val="00B43257"/>
    <w:rsid w:val="00B4380D"/>
    <w:rsid w:val="00B4680F"/>
    <w:rsid w:val="00B472F7"/>
    <w:rsid w:val="00B47385"/>
    <w:rsid w:val="00B47785"/>
    <w:rsid w:val="00B52767"/>
    <w:rsid w:val="00B53CD2"/>
    <w:rsid w:val="00B5475E"/>
    <w:rsid w:val="00B556AD"/>
    <w:rsid w:val="00B5603D"/>
    <w:rsid w:val="00B561FD"/>
    <w:rsid w:val="00B56F36"/>
    <w:rsid w:val="00B6385F"/>
    <w:rsid w:val="00B646BA"/>
    <w:rsid w:val="00B65BE0"/>
    <w:rsid w:val="00B74325"/>
    <w:rsid w:val="00B75842"/>
    <w:rsid w:val="00B76E32"/>
    <w:rsid w:val="00B777DC"/>
    <w:rsid w:val="00B80A6D"/>
    <w:rsid w:val="00B80D38"/>
    <w:rsid w:val="00B815DE"/>
    <w:rsid w:val="00B81D76"/>
    <w:rsid w:val="00B85CC5"/>
    <w:rsid w:val="00B85DBE"/>
    <w:rsid w:val="00B85DC8"/>
    <w:rsid w:val="00B8607F"/>
    <w:rsid w:val="00B865C2"/>
    <w:rsid w:val="00B869D5"/>
    <w:rsid w:val="00B87692"/>
    <w:rsid w:val="00B878C4"/>
    <w:rsid w:val="00B914AD"/>
    <w:rsid w:val="00B91BAE"/>
    <w:rsid w:val="00B92993"/>
    <w:rsid w:val="00B9419F"/>
    <w:rsid w:val="00B94A82"/>
    <w:rsid w:val="00B95480"/>
    <w:rsid w:val="00B96715"/>
    <w:rsid w:val="00B96AFB"/>
    <w:rsid w:val="00B9754A"/>
    <w:rsid w:val="00B97C33"/>
    <w:rsid w:val="00BA05BA"/>
    <w:rsid w:val="00BA1707"/>
    <w:rsid w:val="00BA22F5"/>
    <w:rsid w:val="00BA3741"/>
    <w:rsid w:val="00BA3C1D"/>
    <w:rsid w:val="00BA3CBF"/>
    <w:rsid w:val="00BA459C"/>
    <w:rsid w:val="00BA56C1"/>
    <w:rsid w:val="00BA6A1A"/>
    <w:rsid w:val="00BA6B81"/>
    <w:rsid w:val="00BA70CA"/>
    <w:rsid w:val="00BA74A4"/>
    <w:rsid w:val="00BB15C9"/>
    <w:rsid w:val="00BB2238"/>
    <w:rsid w:val="00BB3BC9"/>
    <w:rsid w:val="00BB49C9"/>
    <w:rsid w:val="00BB4EE5"/>
    <w:rsid w:val="00BB7FE1"/>
    <w:rsid w:val="00BC12C7"/>
    <w:rsid w:val="00BC1B95"/>
    <w:rsid w:val="00BC1BDC"/>
    <w:rsid w:val="00BC35F1"/>
    <w:rsid w:val="00BC3C17"/>
    <w:rsid w:val="00BC3FCE"/>
    <w:rsid w:val="00BC4309"/>
    <w:rsid w:val="00BC5E7E"/>
    <w:rsid w:val="00BC7443"/>
    <w:rsid w:val="00BD02FA"/>
    <w:rsid w:val="00BD03C1"/>
    <w:rsid w:val="00BD042D"/>
    <w:rsid w:val="00BD13AE"/>
    <w:rsid w:val="00BD2235"/>
    <w:rsid w:val="00BD2F75"/>
    <w:rsid w:val="00BD3309"/>
    <w:rsid w:val="00BD4105"/>
    <w:rsid w:val="00BD55A6"/>
    <w:rsid w:val="00BD73F5"/>
    <w:rsid w:val="00BD7FB0"/>
    <w:rsid w:val="00BE09AB"/>
    <w:rsid w:val="00BE0B09"/>
    <w:rsid w:val="00BE0C48"/>
    <w:rsid w:val="00BE1B77"/>
    <w:rsid w:val="00BE3198"/>
    <w:rsid w:val="00BE331C"/>
    <w:rsid w:val="00BE3E0B"/>
    <w:rsid w:val="00BE4A80"/>
    <w:rsid w:val="00BE4F59"/>
    <w:rsid w:val="00BE5542"/>
    <w:rsid w:val="00BE5D0D"/>
    <w:rsid w:val="00BE7176"/>
    <w:rsid w:val="00BF2CD4"/>
    <w:rsid w:val="00BF34D3"/>
    <w:rsid w:val="00BF3549"/>
    <w:rsid w:val="00BF615D"/>
    <w:rsid w:val="00BF765F"/>
    <w:rsid w:val="00C006AE"/>
    <w:rsid w:val="00C015D1"/>
    <w:rsid w:val="00C051C4"/>
    <w:rsid w:val="00C0581A"/>
    <w:rsid w:val="00C06BC4"/>
    <w:rsid w:val="00C126A5"/>
    <w:rsid w:val="00C130D4"/>
    <w:rsid w:val="00C13D4C"/>
    <w:rsid w:val="00C151BD"/>
    <w:rsid w:val="00C151F0"/>
    <w:rsid w:val="00C16DCB"/>
    <w:rsid w:val="00C17779"/>
    <w:rsid w:val="00C2007C"/>
    <w:rsid w:val="00C20115"/>
    <w:rsid w:val="00C21BD7"/>
    <w:rsid w:val="00C223BC"/>
    <w:rsid w:val="00C2259E"/>
    <w:rsid w:val="00C22CF7"/>
    <w:rsid w:val="00C24A7B"/>
    <w:rsid w:val="00C263D6"/>
    <w:rsid w:val="00C31E4A"/>
    <w:rsid w:val="00C321EB"/>
    <w:rsid w:val="00C32461"/>
    <w:rsid w:val="00C33213"/>
    <w:rsid w:val="00C3409E"/>
    <w:rsid w:val="00C34FFB"/>
    <w:rsid w:val="00C35FF3"/>
    <w:rsid w:val="00C371C7"/>
    <w:rsid w:val="00C37CE5"/>
    <w:rsid w:val="00C40805"/>
    <w:rsid w:val="00C41549"/>
    <w:rsid w:val="00C41978"/>
    <w:rsid w:val="00C42171"/>
    <w:rsid w:val="00C42A65"/>
    <w:rsid w:val="00C42E23"/>
    <w:rsid w:val="00C44438"/>
    <w:rsid w:val="00C44C6F"/>
    <w:rsid w:val="00C462BD"/>
    <w:rsid w:val="00C46411"/>
    <w:rsid w:val="00C47B22"/>
    <w:rsid w:val="00C509F8"/>
    <w:rsid w:val="00C50B49"/>
    <w:rsid w:val="00C518AF"/>
    <w:rsid w:val="00C521EF"/>
    <w:rsid w:val="00C532AE"/>
    <w:rsid w:val="00C543CD"/>
    <w:rsid w:val="00C56122"/>
    <w:rsid w:val="00C61177"/>
    <w:rsid w:val="00C6132E"/>
    <w:rsid w:val="00C6313F"/>
    <w:rsid w:val="00C64602"/>
    <w:rsid w:val="00C65ABD"/>
    <w:rsid w:val="00C65C12"/>
    <w:rsid w:val="00C708B4"/>
    <w:rsid w:val="00C7100A"/>
    <w:rsid w:val="00C75FF1"/>
    <w:rsid w:val="00C824DB"/>
    <w:rsid w:val="00C82738"/>
    <w:rsid w:val="00C83064"/>
    <w:rsid w:val="00C83D6C"/>
    <w:rsid w:val="00C84BBF"/>
    <w:rsid w:val="00C84C48"/>
    <w:rsid w:val="00C856FD"/>
    <w:rsid w:val="00C86C2A"/>
    <w:rsid w:val="00C96A28"/>
    <w:rsid w:val="00C979A0"/>
    <w:rsid w:val="00C97F6F"/>
    <w:rsid w:val="00CA12EE"/>
    <w:rsid w:val="00CA1CA6"/>
    <w:rsid w:val="00CA1E83"/>
    <w:rsid w:val="00CA26F9"/>
    <w:rsid w:val="00CA3B6B"/>
    <w:rsid w:val="00CA6068"/>
    <w:rsid w:val="00CA765B"/>
    <w:rsid w:val="00CB0D61"/>
    <w:rsid w:val="00CB0F83"/>
    <w:rsid w:val="00CB144F"/>
    <w:rsid w:val="00CB1E2F"/>
    <w:rsid w:val="00CB2786"/>
    <w:rsid w:val="00CB7455"/>
    <w:rsid w:val="00CB798D"/>
    <w:rsid w:val="00CB7CF8"/>
    <w:rsid w:val="00CC07EB"/>
    <w:rsid w:val="00CC0836"/>
    <w:rsid w:val="00CC1F15"/>
    <w:rsid w:val="00CC2EB7"/>
    <w:rsid w:val="00CC30F6"/>
    <w:rsid w:val="00CC6BB0"/>
    <w:rsid w:val="00CC6BF0"/>
    <w:rsid w:val="00CC6CEB"/>
    <w:rsid w:val="00CD0369"/>
    <w:rsid w:val="00CD249E"/>
    <w:rsid w:val="00CD2603"/>
    <w:rsid w:val="00CD3343"/>
    <w:rsid w:val="00CD3EFA"/>
    <w:rsid w:val="00CD68E7"/>
    <w:rsid w:val="00CD73F5"/>
    <w:rsid w:val="00CD7BD4"/>
    <w:rsid w:val="00CD7F82"/>
    <w:rsid w:val="00CE1242"/>
    <w:rsid w:val="00CE3F4D"/>
    <w:rsid w:val="00CE6DED"/>
    <w:rsid w:val="00CE7369"/>
    <w:rsid w:val="00CF0646"/>
    <w:rsid w:val="00CF116A"/>
    <w:rsid w:val="00CF2324"/>
    <w:rsid w:val="00CF3D43"/>
    <w:rsid w:val="00CF4C54"/>
    <w:rsid w:val="00CF5E1B"/>
    <w:rsid w:val="00CF62C1"/>
    <w:rsid w:val="00CF74B4"/>
    <w:rsid w:val="00CF7B37"/>
    <w:rsid w:val="00D001B7"/>
    <w:rsid w:val="00D017F2"/>
    <w:rsid w:val="00D0188E"/>
    <w:rsid w:val="00D04931"/>
    <w:rsid w:val="00D0495A"/>
    <w:rsid w:val="00D069A5"/>
    <w:rsid w:val="00D10C78"/>
    <w:rsid w:val="00D10D85"/>
    <w:rsid w:val="00D12643"/>
    <w:rsid w:val="00D143A8"/>
    <w:rsid w:val="00D15FAA"/>
    <w:rsid w:val="00D169D9"/>
    <w:rsid w:val="00D17715"/>
    <w:rsid w:val="00D2079C"/>
    <w:rsid w:val="00D21D2E"/>
    <w:rsid w:val="00D220FD"/>
    <w:rsid w:val="00D225D4"/>
    <w:rsid w:val="00D22D3D"/>
    <w:rsid w:val="00D267EB"/>
    <w:rsid w:val="00D26ABD"/>
    <w:rsid w:val="00D27916"/>
    <w:rsid w:val="00D30030"/>
    <w:rsid w:val="00D30D4D"/>
    <w:rsid w:val="00D30EE6"/>
    <w:rsid w:val="00D321B3"/>
    <w:rsid w:val="00D32560"/>
    <w:rsid w:val="00D32BA7"/>
    <w:rsid w:val="00D32DB7"/>
    <w:rsid w:val="00D33215"/>
    <w:rsid w:val="00D33652"/>
    <w:rsid w:val="00D33E6D"/>
    <w:rsid w:val="00D34311"/>
    <w:rsid w:val="00D35F7B"/>
    <w:rsid w:val="00D4085A"/>
    <w:rsid w:val="00D420D0"/>
    <w:rsid w:val="00D42B77"/>
    <w:rsid w:val="00D43340"/>
    <w:rsid w:val="00D433F9"/>
    <w:rsid w:val="00D43777"/>
    <w:rsid w:val="00D43CA3"/>
    <w:rsid w:val="00D43FBC"/>
    <w:rsid w:val="00D45822"/>
    <w:rsid w:val="00D45DAA"/>
    <w:rsid w:val="00D46158"/>
    <w:rsid w:val="00D46840"/>
    <w:rsid w:val="00D51AD9"/>
    <w:rsid w:val="00D51F0D"/>
    <w:rsid w:val="00D52B76"/>
    <w:rsid w:val="00D52DE1"/>
    <w:rsid w:val="00D54DEF"/>
    <w:rsid w:val="00D5514B"/>
    <w:rsid w:val="00D55BB3"/>
    <w:rsid w:val="00D562BE"/>
    <w:rsid w:val="00D569DF"/>
    <w:rsid w:val="00D56D83"/>
    <w:rsid w:val="00D57192"/>
    <w:rsid w:val="00D57599"/>
    <w:rsid w:val="00D57EE6"/>
    <w:rsid w:val="00D57F33"/>
    <w:rsid w:val="00D57F55"/>
    <w:rsid w:val="00D62965"/>
    <w:rsid w:val="00D643BF"/>
    <w:rsid w:val="00D66361"/>
    <w:rsid w:val="00D664F9"/>
    <w:rsid w:val="00D74494"/>
    <w:rsid w:val="00D751AA"/>
    <w:rsid w:val="00D759F6"/>
    <w:rsid w:val="00D822E6"/>
    <w:rsid w:val="00D85670"/>
    <w:rsid w:val="00D861C6"/>
    <w:rsid w:val="00D86EF4"/>
    <w:rsid w:val="00D872C7"/>
    <w:rsid w:val="00D874BB"/>
    <w:rsid w:val="00D90E8E"/>
    <w:rsid w:val="00D91AC6"/>
    <w:rsid w:val="00D91C7E"/>
    <w:rsid w:val="00D92336"/>
    <w:rsid w:val="00D93A01"/>
    <w:rsid w:val="00D93ABB"/>
    <w:rsid w:val="00D95A60"/>
    <w:rsid w:val="00DA0529"/>
    <w:rsid w:val="00DA4DE8"/>
    <w:rsid w:val="00DA5416"/>
    <w:rsid w:val="00DB1DFD"/>
    <w:rsid w:val="00DB1F4F"/>
    <w:rsid w:val="00DB2227"/>
    <w:rsid w:val="00DB3969"/>
    <w:rsid w:val="00DB3BFF"/>
    <w:rsid w:val="00DB4908"/>
    <w:rsid w:val="00DB567A"/>
    <w:rsid w:val="00DB5B92"/>
    <w:rsid w:val="00DB5F9D"/>
    <w:rsid w:val="00DB6DE7"/>
    <w:rsid w:val="00DC0625"/>
    <w:rsid w:val="00DC14E1"/>
    <w:rsid w:val="00DC231B"/>
    <w:rsid w:val="00DC2FB8"/>
    <w:rsid w:val="00DC4919"/>
    <w:rsid w:val="00DC4B97"/>
    <w:rsid w:val="00DC543F"/>
    <w:rsid w:val="00DC5A13"/>
    <w:rsid w:val="00DC6BAB"/>
    <w:rsid w:val="00DD09D6"/>
    <w:rsid w:val="00DD2867"/>
    <w:rsid w:val="00DD3331"/>
    <w:rsid w:val="00DD3383"/>
    <w:rsid w:val="00DD43F9"/>
    <w:rsid w:val="00DD4719"/>
    <w:rsid w:val="00DD47F0"/>
    <w:rsid w:val="00DD6DE1"/>
    <w:rsid w:val="00DD7221"/>
    <w:rsid w:val="00DD7A34"/>
    <w:rsid w:val="00DE02C3"/>
    <w:rsid w:val="00DE095A"/>
    <w:rsid w:val="00DE0B0B"/>
    <w:rsid w:val="00DE178E"/>
    <w:rsid w:val="00DE5171"/>
    <w:rsid w:val="00DE7E3A"/>
    <w:rsid w:val="00DF1701"/>
    <w:rsid w:val="00DF170A"/>
    <w:rsid w:val="00DF4FEB"/>
    <w:rsid w:val="00DF6823"/>
    <w:rsid w:val="00DF68D6"/>
    <w:rsid w:val="00DF7B78"/>
    <w:rsid w:val="00E00D52"/>
    <w:rsid w:val="00E016DB"/>
    <w:rsid w:val="00E01C3F"/>
    <w:rsid w:val="00E024FB"/>
    <w:rsid w:val="00E02F38"/>
    <w:rsid w:val="00E03ACE"/>
    <w:rsid w:val="00E042E0"/>
    <w:rsid w:val="00E04EB9"/>
    <w:rsid w:val="00E05E53"/>
    <w:rsid w:val="00E07FA8"/>
    <w:rsid w:val="00E124C1"/>
    <w:rsid w:val="00E12A4E"/>
    <w:rsid w:val="00E143F3"/>
    <w:rsid w:val="00E14917"/>
    <w:rsid w:val="00E16749"/>
    <w:rsid w:val="00E17E27"/>
    <w:rsid w:val="00E20389"/>
    <w:rsid w:val="00E21A0F"/>
    <w:rsid w:val="00E21DEE"/>
    <w:rsid w:val="00E2227B"/>
    <w:rsid w:val="00E229D3"/>
    <w:rsid w:val="00E23D30"/>
    <w:rsid w:val="00E26540"/>
    <w:rsid w:val="00E31A91"/>
    <w:rsid w:val="00E33B91"/>
    <w:rsid w:val="00E33D07"/>
    <w:rsid w:val="00E34C10"/>
    <w:rsid w:val="00E3603C"/>
    <w:rsid w:val="00E363A3"/>
    <w:rsid w:val="00E37355"/>
    <w:rsid w:val="00E401C1"/>
    <w:rsid w:val="00E40B74"/>
    <w:rsid w:val="00E41724"/>
    <w:rsid w:val="00E42951"/>
    <w:rsid w:val="00E42DFB"/>
    <w:rsid w:val="00E43342"/>
    <w:rsid w:val="00E44188"/>
    <w:rsid w:val="00E44928"/>
    <w:rsid w:val="00E44980"/>
    <w:rsid w:val="00E453BC"/>
    <w:rsid w:val="00E4728D"/>
    <w:rsid w:val="00E47938"/>
    <w:rsid w:val="00E47969"/>
    <w:rsid w:val="00E47C88"/>
    <w:rsid w:val="00E52AB7"/>
    <w:rsid w:val="00E56234"/>
    <w:rsid w:val="00E56B58"/>
    <w:rsid w:val="00E570D8"/>
    <w:rsid w:val="00E6014F"/>
    <w:rsid w:val="00E6022B"/>
    <w:rsid w:val="00E61BDF"/>
    <w:rsid w:val="00E62C94"/>
    <w:rsid w:val="00E62FEE"/>
    <w:rsid w:val="00E63F6D"/>
    <w:rsid w:val="00E64062"/>
    <w:rsid w:val="00E650DC"/>
    <w:rsid w:val="00E656A1"/>
    <w:rsid w:val="00E65733"/>
    <w:rsid w:val="00E65D60"/>
    <w:rsid w:val="00E669D0"/>
    <w:rsid w:val="00E670CC"/>
    <w:rsid w:val="00E6763A"/>
    <w:rsid w:val="00E67858"/>
    <w:rsid w:val="00E67ADA"/>
    <w:rsid w:val="00E722FB"/>
    <w:rsid w:val="00E724FE"/>
    <w:rsid w:val="00E73271"/>
    <w:rsid w:val="00E754C8"/>
    <w:rsid w:val="00E754D8"/>
    <w:rsid w:val="00E75849"/>
    <w:rsid w:val="00E76412"/>
    <w:rsid w:val="00E767FA"/>
    <w:rsid w:val="00E7738D"/>
    <w:rsid w:val="00E77ABA"/>
    <w:rsid w:val="00E804B2"/>
    <w:rsid w:val="00E80CA5"/>
    <w:rsid w:val="00E82D27"/>
    <w:rsid w:val="00E84015"/>
    <w:rsid w:val="00E8449C"/>
    <w:rsid w:val="00E87181"/>
    <w:rsid w:val="00E8759C"/>
    <w:rsid w:val="00E87DD4"/>
    <w:rsid w:val="00E945B7"/>
    <w:rsid w:val="00E94CBD"/>
    <w:rsid w:val="00E95055"/>
    <w:rsid w:val="00E954DA"/>
    <w:rsid w:val="00E95AAB"/>
    <w:rsid w:val="00E95EE7"/>
    <w:rsid w:val="00EA220A"/>
    <w:rsid w:val="00EA2FAD"/>
    <w:rsid w:val="00EA3CB6"/>
    <w:rsid w:val="00EA4CA3"/>
    <w:rsid w:val="00EA50C3"/>
    <w:rsid w:val="00EA6013"/>
    <w:rsid w:val="00EA7712"/>
    <w:rsid w:val="00EB0537"/>
    <w:rsid w:val="00EB161A"/>
    <w:rsid w:val="00EB1D1A"/>
    <w:rsid w:val="00EB2A30"/>
    <w:rsid w:val="00EB2C26"/>
    <w:rsid w:val="00EB404B"/>
    <w:rsid w:val="00EB4974"/>
    <w:rsid w:val="00EB5075"/>
    <w:rsid w:val="00EB5D6B"/>
    <w:rsid w:val="00EB7103"/>
    <w:rsid w:val="00EB7114"/>
    <w:rsid w:val="00EC0FC0"/>
    <w:rsid w:val="00EC1426"/>
    <w:rsid w:val="00EC3104"/>
    <w:rsid w:val="00EC3304"/>
    <w:rsid w:val="00EC487E"/>
    <w:rsid w:val="00EC6368"/>
    <w:rsid w:val="00ED0CCC"/>
    <w:rsid w:val="00ED1144"/>
    <w:rsid w:val="00ED11D2"/>
    <w:rsid w:val="00ED269D"/>
    <w:rsid w:val="00ED3D30"/>
    <w:rsid w:val="00ED6092"/>
    <w:rsid w:val="00ED6C4F"/>
    <w:rsid w:val="00ED7148"/>
    <w:rsid w:val="00EE0A41"/>
    <w:rsid w:val="00EE25B1"/>
    <w:rsid w:val="00EE45A8"/>
    <w:rsid w:val="00EE4C0B"/>
    <w:rsid w:val="00EE4E3D"/>
    <w:rsid w:val="00EE5E74"/>
    <w:rsid w:val="00EE6AE3"/>
    <w:rsid w:val="00EE739C"/>
    <w:rsid w:val="00EF298F"/>
    <w:rsid w:val="00EF2DD7"/>
    <w:rsid w:val="00EF3768"/>
    <w:rsid w:val="00EF3A17"/>
    <w:rsid w:val="00EF538A"/>
    <w:rsid w:val="00EF705E"/>
    <w:rsid w:val="00EF70E7"/>
    <w:rsid w:val="00EF725C"/>
    <w:rsid w:val="00F007F8"/>
    <w:rsid w:val="00F01757"/>
    <w:rsid w:val="00F03273"/>
    <w:rsid w:val="00F03798"/>
    <w:rsid w:val="00F05D34"/>
    <w:rsid w:val="00F064EF"/>
    <w:rsid w:val="00F06E0B"/>
    <w:rsid w:val="00F0730C"/>
    <w:rsid w:val="00F07399"/>
    <w:rsid w:val="00F104A0"/>
    <w:rsid w:val="00F124D2"/>
    <w:rsid w:val="00F12C56"/>
    <w:rsid w:val="00F147A7"/>
    <w:rsid w:val="00F152E9"/>
    <w:rsid w:val="00F160E9"/>
    <w:rsid w:val="00F172E7"/>
    <w:rsid w:val="00F21727"/>
    <w:rsid w:val="00F21A9D"/>
    <w:rsid w:val="00F21CAF"/>
    <w:rsid w:val="00F249BE"/>
    <w:rsid w:val="00F2606F"/>
    <w:rsid w:val="00F27AF9"/>
    <w:rsid w:val="00F31165"/>
    <w:rsid w:val="00F31CDC"/>
    <w:rsid w:val="00F32BDE"/>
    <w:rsid w:val="00F33484"/>
    <w:rsid w:val="00F33AF0"/>
    <w:rsid w:val="00F345A3"/>
    <w:rsid w:val="00F349DA"/>
    <w:rsid w:val="00F34FB2"/>
    <w:rsid w:val="00F35BB3"/>
    <w:rsid w:val="00F35DD5"/>
    <w:rsid w:val="00F35F97"/>
    <w:rsid w:val="00F370EB"/>
    <w:rsid w:val="00F37A15"/>
    <w:rsid w:val="00F40814"/>
    <w:rsid w:val="00F41749"/>
    <w:rsid w:val="00F41B4D"/>
    <w:rsid w:val="00F440E8"/>
    <w:rsid w:val="00F454DA"/>
    <w:rsid w:val="00F45A38"/>
    <w:rsid w:val="00F4615B"/>
    <w:rsid w:val="00F47E5F"/>
    <w:rsid w:val="00F50B29"/>
    <w:rsid w:val="00F520F0"/>
    <w:rsid w:val="00F53562"/>
    <w:rsid w:val="00F536C8"/>
    <w:rsid w:val="00F53D17"/>
    <w:rsid w:val="00F548D9"/>
    <w:rsid w:val="00F55290"/>
    <w:rsid w:val="00F55703"/>
    <w:rsid w:val="00F56179"/>
    <w:rsid w:val="00F57F33"/>
    <w:rsid w:val="00F57F50"/>
    <w:rsid w:val="00F60601"/>
    <w:rsid w:val="00F60E3A"/>
    <w:rsid w:val="00F619F5"/>
    <w:rsid w:val="00F6351F"/>
    <w:rsid w:val="00F63BD8"/>
    <w:rsid w:val="00F6435B"/>
    <w:rsid w:val="00F64621"/>
    <w:rsid w:val="00F6552B"/>
    <w:rsid w:val="00F704B3"/>
    <w:rsid w:val="00F70C21"/>
    <w:rsid w:val="00F72E12"/>
    <w:rsid w:val="00F740F3"/>
    <w:rsid w:val="00F74171"/>
    <w:rsid w:val="00F74326"/>
    <w:rsid w:val="00F747E7"/>
    <w:rsid w:val="00F7530F"/>
    <w:rsid w:val="00F765EE"/>
    <w:rsid w:val="00F77B40"/>
    <w:rsid w:val="00F77CD5"/>
    <w:rsid w:val="00F8074B"/>
    <w:rsid w:val="00F80C68"/>
    <w:rsid w:val="00F815CA"/>
    <w:rsid w:val="00F822B4"/>
    <w:rsid w:val="00F8244E"/>
    <w:rsid w:val="00F84F19"/>
    <w:rsid w:val="00F85CC6"/>
    <w:rsid w:val="00F86720"/>
    <w:rsid w:val="00F87265"/>
    <w:rsid w:val="00F8769F"/>
    <w:rsid w:val="00F87B88"/>
    <w:rsid w:val="00F91C11"/>
    <w:rsid w:val="00F93A9B"/>
    <w:rsid w:val="00F946A6"/>
    <w:rsid w:val="00F94F44"/>
    <w:rsid w:val="00F96664"/>
    <w:rsid w:val="00FA1267"/>
    <w:rsid w:val="00FA6640"/>
    <w:rsid w:val="00FA77FF"/>
    <w:rsid w:val="00FA7B40"/>
    <w:rsid w:val="00FB0D18"/>
    <w:rsid w:val="00FB4347"/>
    <w:rsid w:val="00FB5A5B"/>
    <w:rsid w:val="00FB64BA"/>
    <w:rsid w:val="00FC08A6"/>
    <w:rsid w:val="00FC2E7C"/>
    <w:rsid w:val="00FC429B"/>
    <w:rsid w:val="00FC5F79"/>
    <w:rsid w:val="00FC60D5"/>
    <w:rsid w:val="00FC67BB"/>
    <w:rsid w:val="00FD0B2D"/>
    <w:rsid w:val="00FD1F82"/>
    <w:rsid w:val="00FD24A2"/>
    <w:rsid w:val="00FD2954"/>
    <w:rsid w:val="00FD2F83"/>
    <w:rsid w:val="00FD437D"/>
    <w:rsid w:val="00FD4A4A"/>
    <w:rsid w:val="00FD4E6C"/>
    <w:rsid w:val="00FD4F3A"/>
    <w:rsid w:val="00FD5F74"/>
    <w:rsid w:val="00FD600F"/>
    <w:rsid w:val="00FD7B2E"/>
    <w:rsid w:val="00FE2ED5"/>
    <w:rsid w:val="00FE356D"/>
    <w:rsid w:val="00FE4257"/>
    <w:rsid w:val="00FE480F"/>
    <w:rsid w:val="00FE509C"/>
    <w:rsid w:val="00FE5E61"/>
    <w:rsid w:val="00FE666C"/>
    <w:rsid w:val="00FE6C6E"/>
    <w:rsid w:val="00FE7695"/>
    <w:rsid w:val="00FE787C"/>
    <w:rsid w:val="00FE7C93"/>
    <w:rsid w:val="00FF0A55"/>
    <w:rsid w:val="00FF1C78"/>
    <w:rsid w:val="00FF293C"/>
    <w:rsid w:val="00FF32C5"/>
    <w:rsid w:val="00FF3B51"/>
    <w:rsid w:val="00FF3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7E0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 w:qFormat="1"/>
    <w:lsdException w:name="toc 2" w:uiPriority="39" w:qFormat="1"/>
    <w:lsdException w:name="toc 3" w:uiPriority="39" w:qFormat="1"/>
    <w:lsdException w:name="Hyperlink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FA77FF"/>
    <w:pPr>
      <w:spacing w:before="60" w:after="240"/>
    </w:pPr>
    <w:rPr>
      <w:color w:val="404040" w:themeColor="text1" w:themeTint="BF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7176"/>
    <w:pPr>
      <w:keepNext/>
      <w:keepLines/>
      <w:spacing w:before="0" w:after="0"/>
      <w:ind w:right="-18"/>
      <w:outlineLvl w:val="0"/>
    </w:pPr>
    <w:rPr>
      <w:rFonts w:ascii="Cambria" w:hAnsi="Cambria"/>
      <w:color w:val="FF0000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5CA"/>
    <w:pPr>
      <w:keepNext/>
      <w:keepLines/>
      <w:spacing w:before="480" w:after="720"/>
      <w:outlineLvl w:val="1"/>
    </w:pPr>
    <w:rPr>
      <w:rFonts w:eastAsiaTheme="majorEastAsia" w:cstheme="majorBidi"/>
      <w:b/>
      <w:bCs/>
      <w:smallCaps/>
      <w:color w:val="FF0000"/>
      <w:sz w:val="40"/>
      <w:szCs w:val="26"/>
    </w:rPr>
  </w:style>
  <w:style w:type="paragraph" w:styleId="Heading3">
    <w:name w:val="heading 3"/>
    <w:basedOn w:val="Heading2"/>
    <w:next w:val="Heading2"/>
    <w:link w:val="Heading3Char"/>
    <w:uiPriority w:val="9"/>
    <w:unhideWhenUsed/>
    <w:qFormat/>
    <w:rsid w:val="00E6763A"/>
    <w:pPr>
      <w:spacing w:before="360"/>
      <w:outlineLvl w:val="2"/>
    </w:pPr>
    <w:rPr>
      <w:bCs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7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51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EB2"/>
    <w:tblPr>
      <w:tblStyleRowBandSize w:val="1"/>
      <w:tblInd w:w="0" w:type="dxa"/>
      <w:tblBorders>
        <w:insideH w:val="single" w:sz="36" w:space="0" w:color="FFFFFF" w:themeColor="background1"/>
        <w:insideV w:val="single" w:sz="36" w:space="0" w:color="FFFFFF" w:themeColor="background1"/>
      </w:tblBorders>
      <w:tblCellMar>
        <w:top w:w="216" w:type="dxa"/>
        <w:left w:w="216" w:type="dxa"/>
        <w:bottom w:w="216" w:type="dxa"/>
        <w:right w:w="216" w:type="dxa"/>
      </w:tblCellMar>
    </w:tblPr>
    <w:tcPr>
      <w:shd w:val="clear" w:color="auto" w:fill="D9D9D9" w:themeFill="background1" w:themeFillShade="D9"/>
    </w:tcPr>
    <w:tblStylePr w:type="firstRow">
      <w:tblPr/>
      <w:tcPr>
        <w:shd w:val="clear" w:color="auto" w:fill="BFBFBF" w:themeFill="background1" w:themeFillShade="BF"/>
      </w:tcPr>
    </w:tblStylePr>
    <w:tblStylePr w:type="firstCol">
      <w:tblPr/>
      <w:tcPr>
        <w:shd w:val="clear" w:color="auto" w:fill="EAEAEA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01FFD"/>
    <w:pPr>
      <w:ind w:left="720"/>
      <w:contextualSpacing/>
    </w:pPr>
  </w:style>
  <w:style w:type="paragraph" w:styleId="BodyText">
    <w:name w:val="Body Text"/>
    <w:basedOn w:val="Normal"/>
    <w:link w:val="BodyTextChar1"/>
    <w:rsid w:val="00ED11D2"/>
    <w:pPr>
      <w:spacing w:before="140" w:after="140"/>
    </w:pPr>
    <w:rPr>
      <w:rFonts w:ascii="Cambria" w:eastAsia="Times New Roman" w:hAnsi="Cambria" w:cs="Times New Roman"/>
      <w:lang w:val="en-GB" w:eastAsia="en-GB"/>
    </w:rPr>
  </w:style>
  <w:style w:type="character" w:customStyle="1" w:styleId="BodyTextChar">
    <w:name w:val="Body Text Char"/>
    <w:basedOn w:val="DefaultParagraphFont"/>
    <w:uiPriority w:val="99"/>
    <w:semiHidden/>
    <w:rsid w:val="00ED11D2"/>
  </w:style>
  <w:style w:type="character" w:customStyle="1" w:styleId="BodyTextChar1">
    <w:name w:val="Body Text Char1"/>
    <w:link w:val="BodyText"/>
    <w:rsid w:val="00ED11D2"/>
    <w:rPr>
      <w:rFonts w:ascii="Cambria" w:eastAsia="Times New Roman" w:hAnsi="Cambria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BA"/>
    <w:rPr>
      <w:rFonts w:ascii="Tahoma" w:hAnsi="Tahoma" w:cs="Tahoma"/>
      <w:sz w:val="16"/>
      <w:szCs w:val="16"/>
    </w:rPr>
  </w:style>
  <w:style w:type="paragraph" w:customStyle="1" w:styleId="regcopy">
    <w:name w:val="reg copy"/>
    <w:basedOn w:val="Normal"/>
    <w:uiPriority w:val="99"/>
    <w:rsid w:val="00B646BA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BE7176"/>
    <w:rPr>
      <w:rFonts w:ascii="Cambria" w:hAnsi="Cambria"/>
      <w:color w:val="FF0000"/>
      <w:sz w:val="40"/>
    </w:rPr>
  </w:style>
  <w:style w:type="character" w:styleId="IntenseReference">
    <w:name w:val="Intense Reference"/>
    <w:basedOn w:val="DefaultParagraphFont"/>
    <w:uiPriority w:val="32"/>
    <w:qFormat/>
    <w:rsid w:val="00AA7653"/>
    <w:rPr>
      <w:b/>
      <w:bCs/>
      <w:smallCaps/>
      <w:color w:val="ED1C24" w:themeColor="accent2"/>
      <w:spacing w:val="5"/>
      <w:u w:val="single"/>
    </w:rPr>
  </w:style>
  <w:style w:type="paragraph" w:styleId="NoSpacing">
    <w:name w:val="No Spacing"/>
    <w:link w:val="NoSpacingChar"/>
    <w:uiPriority w:val="1"/>
    <w:qFormat/>
    <w:rsid w:val="00957BE4"/>
    <w:pPr>
      <w:numPr>
        <w:numId w:val="1"/>
      </w:numPr>
      <w:spacing w:after="120"/>
      <w:ind w:left="576" w:hanging="288"/>
    </w:pPr>
    <w:rPr>
      <w:color w:val="404040" w:themeColor="text1" w:themeTint="BF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815CA"/>
    <w:rPr>
      <w:rFonts w:eastAsiaTheme="majorEastAsia" w:cstheme="majorBidi"/>
      <w:b/>
      <w:bCs/>
      <w:smallCaps/>
      <w:color w:val="FF0000"/>
      <w:sz w:val="40"/>
      <w:szCs w:val="26"/>
    </w:rPr>
  </w:style>
  <w:style w:type="paragraph" w:styleId="NormalWeb">
    <w:name w:val="Normal (Web)"/>
    <w:basedOn w:val="Normal"/>
    <w:uiPriority w:val="99"/>
    <w:unhideWhenUsed/>
    <w:rsid w:val="0032070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t1">
    <w:name w:val="st1"/>
    <w:basedOn w:val="DefaultParagraphFont"/>
    <w:rsid w:val="00320708"/>
  </w:style>
  <w:style w:type="character" w:customStyle="1" w:styleId="Heading3Char">
    <w:name w:val="Heading 3 Char"/>
    <w:basedOn w:val="DefaultParagraphFont"/>
    <w:link w:val="Heading3"/>
    <w:uiPriority w:val="9"/>
    <w:rsid w:val="00E6763A"/>
    <w:rPr>
      <w:rFonts w:eastAsiaTheme="majorEastAsia" w:cstheme="majorBidi"/>
      <w:b/>
      <w:color w:val="0D0D0D" w:themeColor="text1" w:themeTint="F2"/>
      <w:sz w:val="28"/>
      <w:szCs w:val="26"/>
    </w:rPr>
  </w:style>
  <w:style w:type="table" w:styleId="DarkList-Accent2">
    <w:name w:val="Dark List Accent 2"/>
    <w:aliases w:val="AMAG_3,AMAG_2"/>
    <w:basedOn w:val="TableNormal"/>
    <w:uiPriority w:val="70"/>
    <w:rsid w:val="0082119E"/>
    <w:pPr>
      <w:jc w:val="center"/>
    </w:pPr>
    <w:rPr>
      <w:color w:val="FFFFFF" w:themeColor="background1"/>
    </w:rPr>
    <w:tblPr>
      <w:tblStyleRowBandSize w:val="1"/>
      <w:tblStyleColBandSize w:val="1"/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  <w:tcMar>
        <w:top w:w="144" w:type="dxa"/>
        <w:left w:w="115" w:type="dxa"/>
        <w:right w:w="115" w:type="dxa"/>
      </w:tcMar>
      <w:vAlign w:val="center"/>
    </w:tcPr>
    <w:tblStylePr w:type="firstRow">
      <w:pPr>
        <w:jc w:val="center"/>
      </w:pPr>
      <w:rPr>
        <w:rFonts w:asciiTheme="minorHAnsi" w:hAnsiTheme="minorHAnsi"/>
        <w:b/>
        <w:bCs/>
        <w:caps/>
        <w:smallCaps w:val="0"/>
        <w:color w:val="FFFFFF" w:themeColor="background1"/>
        <w:sz w:val="24"/>
      </w:rPr>
      <w:tblPr/>
      <w:tcPr>
        <w:tcBorders>
          <w:bottom w:val="thinThickSmallGap" w:sz="24" w:space="0" w:color="FF0000"/>
          <w:right w:val="nil"/>
          <w:insideH w:val="nil"/>
        </w:tcBorders>
        <w:shd w:val="clear" w:color="auto" w:fill="A6A6A6" w:themeFill="background1" w:themeFillShade="A6"/>
      </w:tcPr>
    </w:tblStylePr>
    <w:tblStylePr w:type="firstCol">
      <w:rPr>
        <w:b w:val="0"/>
        <w:color w:val="A6A6A6" w:themeColor="background1" w:themeShade="A6"/>
      </w:rPr>
      <w:tblPr/>
      <w:tcPr>
        <w:tcBorders>
          <w:top w:val="nil"/>
          <w:left w:val="nil"/>
          <w:bottom w:val="nil"/>
          <w:right w:val="nil"/>
          <w:insideH w:val="single" w:sz="24" w:space="0" w:color="FFFFFF" w:themeColor="background1"/>
          <w:insideV w:val="single" w:sz="24" w:space="0" w:color="FFFFFF" w:themeColor="background1"/>
        </w:tcBorders>
        <w:shd w:val="clear" w:color="auto" w:fill="BFBFBF" w:themeFill="background1" w:themeFillShade="BF"/>
      </w:tcPr>
    </w:tblStylePr>
    <w:tblStylePr w:type="band1Horz">
      <w:rPr>
        <w:color w:val="000000" w:themeColor="text1"/>
      </w:rPr>
      <w:tblPr/>
      <w:tcPr>
        <w:tc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nil"/>
          <w:insideH w:val="single" w:sz="24" w:space="0" w:color="FFFFFF" w:themeColor="background1"/>
          <w:insideV w:val="single" w:sz="2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color w:val="000000" w:themeColor="text1"/>
      </w:rPr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3523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35237"/>
    <w:rPr>
      <w:color w:val="404040" w:themeColor="text1" w:themeTint="BF"/>
      <w:sz w:val="24"/>
    </w:rPr>
  </w:style>
  <w:style w:type="paragraph" w:styleId="Footer">
    <w:name w:val="footer"/>
    <w:basedOn w:val="Normal"/>
    <w:link w:val="FooterChar"/>
    <w:uiPriority w:val="99"/>
    <w:unhideWhenUsed/>
    <w:rsid w:val="00A352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35237"/>
    <w:rPr>
      <w:color w:val="404040" w:themeColor="text1" w:themeTint="BF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454DA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54DA"/>
    <w:pPr>
      <w:spacing w:before="0" w:after="100" w:line="276" w:lineRule="auto"/>
      <w:ind w:left="220"/>
    </w:pPr>
    <w:rPr>
      <w:rFonts w:eastAsiaTheme="minorEastAsia"/>
      <w:color w:val="auto"/>
      <w:sz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37432"/>
    <w:pPr>
      <w:tabs>
        <w:tab w:val="right" w:leader="dot" w:pos="9720"/>
      </w:tabs>
      <w:spacing w:after="0" w:line="276" w:lineRule="auto"/>
      <w:ind w:right="-14"/>
    </w:pPr>
    <w:rPr>
      <w:rFonts w:eastAsiaTheme="minorEastAsia"/>
      <w:color w:val="auto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454DA"/>
    <w:pPr>
      <w:spacing w:before="0" w:after="100" w:line="276" w:lineRule="auto"/>
      <w:ind w:left="440"/>
    </w:pPr>
    <w:rPr>
      <w:rFonts w:eastAsiaTheme="minorEastAsia"/>
      <w:color w:val="auto"/>
      <w:sz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F84F1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5255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3E45"/>
    <w:pPr>
      <w:spacing w:before="0" w:after="720"/>
      <w:contextualSpacing/>
    </w:pPr>
    <w:rPr>
      <w:rFonts w:eastAsiaTheme="majorEastAsia" w:cstheme="majorBidi"/>
      <w:b/>
      <w:smallCaps/>
      <w:color w:val="FF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3E45"/>
    <w:rPr>
      <w:rFonts w:eastAsiaTheme="majorEastAsia" w:cstheme="majorBidi"/>
      <w:b/>
      <w:smallCaps/>
      <w:color w:val="FF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77FF"/>
    <w:pPr>
      <w:numPr>
        <w:ilvl w:val="1"/>
      </w:numPr>
      <w:spacing w:before="360" w:after="120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77FF"/>
    <w:rPr>
      <w:rFonts w:eastAsiaTheme="majorEastAsia" w:cstheme="majorBidi"/>
      <w:b/>
      <w:iCs/>
      <w:color w:val="404040" w:themeColor="text1" w:themeTint="BF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04B3"/>
    <w:rPr>
      <w:rFonts w:asciiTheme="minorHAnsi" w:hAnsiTheme="minorHAnsi"/>
      <w:i w:val="0"/>
      <w:iCs/>
      <w:color w:val="92CDDC" w:themeColor="accent5" w:themeTint="99"/>
      <w:sz w:val="24"/>
    </w:rPr>
  </w:style>
  <w:style w:type="character" w:styleId="SubtleReference">
    <w:name w:val="Subtle Reference"/>
    <w:basedOn w:val="DefaultParagraphFont"/>
    <w:uiPriority w:val="31"/>
    <w:qFormat/>
    <w:rsid w:val="006B7769"/>
    <w:rPr>
      <w:smallCaps/>
      <w:color w:val="ED1C24" w:themeColor="accent2"/>
      <w:u w:val="single"/>
    </w:rPr>
  </w:style>
  <w:style w:type="table" w:styleId="LightList-Accent2">
    <w:name w:val="Light List Accent 2"/>
    <w:basedOn w:val="TableNormal"/>
    <w:uiPriority w:val="61"/>
    <w:rsid w:val="00045941"/>
    <w:tblPr>
      <w:tblStyleRowBandSize w:val="1"/>
      <w:tblStyleColBandSize w:val="1"/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24" w:space="0" w:color="FF0000"/>
          <w:left w:val="nil"/>
          <w:bottom w:val="nil"/>
          <w:right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2"/>
          <w:left w:val="single" w:sz="8" w:space="0" w:color="ED1C24" w:themeColor="accent2"/>
          <w:bottom w:val="single" w:sz="8" w:space="0" w:color="ED1C24" w:themeColor="accent2"/>
          <w:right w:val="single" w:sz="8" w:space="0" w:color="ED1C24" w:themeColor="accent2"/>
        </w:tcBorders>
      </w:tcPr>
    </w:tblStylePr>
    <w:tblStylePr w:type="firstCol">
      <w:rPr>
        <w:rFonts w:asciiTheme="minorHAnsi" w:hAnsiTheme="minorHAnsi"/>
        <w:b/>
        <w:bCs/>
        <w:sz w:val="24"/>
      </w:rPr>
      <w:tblPr/>
      <w:tcPr>
        <w:tcBorders>
          <w:top w:val="nil"/>
        </w:tcBorders>
        <w:shd w:val="clear" w:color="auto" w:fill="FF0000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2"/>
          <w:left w:val="single" w:sz="8" w:space="0" w:color="ED1C24" w:themeColor="accent2"/>
          <w:bottom w:val="single" w:sz="8" w:space="0" w:color="ED1C24" w:themeColor="accent2"/>
          <w:right w:val="single" w:sz="8" w:space="0" w:color="ED1C24" w:themeColor="accent2"/>
        </w:tcBorders>
      </w:tcPr>
    </w:tblStylePr>
    <w:tblStylePr w:type="band1Horz">
      <w:tblPr/>
      <w:tcPr>
        <w:tcBorders>
          <w:top w:val="single" w:sz="8" w:space="0" w:color="ED1C24" w:themeColor="accent2"/>
          <w:left w:val="single" w:sz="8" w:space="0" w:color="ED1C24" w:themeColor="accent2"/>
          <w:bottom w:val="single" w:sz="8" w:space="0" w:color="ED1C24" w:themeColor="accent2"/>
          <w:right w:val="single" w:sz="8" w:space="0" w:color="ED1C24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045941"/>
    <w:rPr>
      <w:color w:val="B70E14" w:themeColor="accent2" w:themeShade="BF"/>
    </w:rPr>
    <w:tblPr>
      <w:tblStyleRowBandSize w:val="1"/>
      <w:tblStyleColBandSize w:val="1"/>
      <w:tblInd w:w="0" w:type="dxa"/>
      <w:tblBorders>
        <w:top w:val="single" w:sz="8" w:space="0" w:color="ED1C24" w:themeColor="accent2"/>
        <w:bottom w:val="single" w:sz="8" w:space="0" w:color="ED1C2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2"/>
          <w:left w:val="nil"/>
          <w:bottom w:val="single" w:sz="8" w:space="0" w:color="ED1C2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2"/>
          <w:left w:val="nil"/>
          <w:bottom w:val="single" w:sz="8" w:space="0" w:color="ED1C2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2" w:themeFillTint="3F"/>
      </w:tcPr>
    </w:tblStylePr>
  </w:style>
  <w:style w:type="table" w:styleId="MediumShading2-Accent2">
    <w:name w:val="Medium Shading 2 Accent 2"/>
    <w:basedOn w:val="TableNormal"/>
    <w:uiPriority w:val="64"/>
    <w:rsid w:val="0004594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04594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2">
    <w:name w:val="Medium Grid 3 Accent 2"/>
    <w:basedOn w:val="TableNormal"/>
    <w:uiPriority w:val="69"/>
    <w:rsid w:val="00D4582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6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2" w:themeFillTint="7F"/>
      </w:tcPr>
    </w:tblStylePr>
  </w:style>
  <w:style w:type="table" w:customStyle="1" w:styleId="Style1">
    <w:name w:val="Style1"/>
    <w:basedOn w:val="TableNormal"/>
    <w:uiPriority w:val="99"/>
    <w:rsid w:val="00D45822"/>
    <w:tblPr>
      <w:tblInd w:w="0" w:type="dxa"/>
      <w:tblBorders>
        <w:top w:val="single" w:sz="24" w:space="0" w:color="FF0000"/>
        <w:left w:val="single" w:sz="24" w:space="0" w:color="FF0000"/>
        <w:right w:val="single" w:sz="24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FF0000"/>
      </w:tcPr>
    </w:tblStylePr>
  </w:style>
  <w:style w:type="table" w:customStyle="1" w:styleId="Style2">
    <w:name w:val="Style2"/>
    <w:basedOn w:val="TableNormal"/>
    <w:uiPriority w:val="99"/>
    <w:rsid w:val="00D45822"/>
    <w:tblPr>
      <w:tblStyleRowBandSize w:val="1"/>
      <w:tblStyleColBandSize w:val="1"/>
      <w:tblInd w:w="0" w:type="dxa"/>
      <w:tblBorders>
        <w:top w:val="single" w:sz="24" w:space="0" w:color="FF0000"/>
        <w:left w:val="single" w:sz="24" w:space="0" w:color="FF0000"/>
        <w:right w:val="single" w:sz="24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rPr>
        <w:color w:val="FFFFFF" w:themeColor="background1"/>
      </w:rPr>
    </w:tblStylePr>
    <w:tblStylePr w:type="lastCol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FF0000"/>
      </w:tcPr>
    </w:tblStylePr>
    <w:tblStylePr w:type="band1Vert">
      <w:tblPr/>
      <w:tcPr>
        <w:shd w:val="clear" w:color="auto" w:fill="FF0000"/>
      </w:tcPr>
    </w:tblStylePr>
  </w:style>
  <w:style w:type="table" w:styleId="LightShading">
    <w:name w:val="Light Shading"/>
    <w:basedOn w:val="TableNormal"/>
    <w:uiPriority w:val="60"/>
    <w:rsid w:val="00D4582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4582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D4582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BookTitle">
    <w:name w:val="Book Title"/>
    <w:basedOn w:val="DefaultParagraphFont"/>
    <w:uiPriority w:val="33"/>
    <w:qFormat/>
    <w:rsid w:val="00431130"/>
    <w:rPr>
      <w:b/>
      <w:bCs/>
      <w:smallCaps/>
      <w:spacing w:val="5"/>
    </w:rPr>
  </w:style>
  <w:style w:type="paragraph" w:customStyle="1" w:styleId="Number1">
    <w:name w:val="Number_1"/>
    <w:basedOn w:val="NoSpacing"/>
    <w:link w:val="Number1Char"/>
    <w:qFormat/>
    <w:rsid w:val="00E05E53"/>
    <w:pPr>
      <w:numPr>
        <w:numId w:val="2"/>
      </w:numPr>
      <w:spacing w:before="120" w:after="240"/>
      <w:ind w:left="432" w:hanging="432"/>
    </w:pPr>
  </w:style>
  <w:style w:type="paragraph" w:customStyle="1" w:styleId="Number2">
    <w:name w:val="Number_2"/>
    <w:basedOn w:val="Number1"/>
    <w:link w:val="Number2Char"/>
    <w:qFormat/>
    <w:rsid w:val="00CB0D61"/>
    <w:pPr>
      <w:numPr>
        <w:numId w:val="3"/>
      </w:numPr>
      <w:spacing w:before="0" w:after="120"/>
      <w:ind w:left="1152" w:hanging="576"/>
    </w:pPr>
    <w:rPr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F27AF9"/>
    <w:rPr>
      <w:color w:val="404040" w:themeColor="text1" w:themeTint="BF"/>
      <w:sz w:val="24"/>
    </w:rPr>
  </w:style>
  <w:style w:type="character" w:customStyle="1" w:styleId="Number1Char">
    <w:name w:val="Number_1 Char"/>
    <w:basedOn w:val="NoSpacingChar"/>
    <w:link w:val="Number1"/>
    <w:rsid w:val="00E05E53"/>
    <w:rPr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676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umber2Char">
    <w:name w:val="Number_2 Char"/>
    <w:basedOn w:val="Number1Char"/>
    <w:link w:val="Number2"/>
    <w:rsid w:val="00CB0D61"/>
    <w:rPr>
      <w:iCs/>
      <w:color w:val="404040" w:themeColor="text1" w:themeTint="BF"/>
      <w:sz w:val="24"/>
    </w:rPr>
  </w:style>
  <w:style w:type="paragraph" w:customStyle="1" w:styleId="Normalsmoll">
    <w:name w:val="Normal smoll"/>
    <w:basedOn w:val="Normal"/>
    <w:link w:val="NormalsmollChar"/>
    <w:qFormat/>
    <w:rsid w:val="007C7A7B"/>
    <w:pPr>
      <w:spacing w:before="0" w:after="120"/>
    </w:pPr>
    <w:rPr>
      <w:sz w:val="20"/>
    </w:rPr>
  </w:style>
  <w:style w:type="paragraph" w:customStyle="1" w:styleId="Smollbold">
    <w:name w:val="Smoll bold"/>
    <w:basedOn w:val="Normalsmoll"/>
    <w:link w:val="SmollboldChar"/>
    <w:qFormat/>
    <w:rsid w:val="0094478F"/>
    <w:pPr>
      <w:spacing w:before="240"/>
    </w:pPr>
    <w:rPr>
      <w:b/>
    </w:rPr>
  </w:style>
  <w:style w:type="character" w:customStyle="1" w:styleId="NormalsmollChar">
    <w:name w:val="Normal smoll Char"/>
    <w:basedOn w:val="DefaultParagraphFont"/>
    <w:link w:val="Normalsmoll"/>
    <w:rsid w:val="007C7A7B"/>
    <w:rPr>
      <w:color w:val="404040" w:themeColor="text1" w:themeTint="BF"/>
      <w:sz w:val="20"/>
    </w:rPr>
  </w:style>
  <w:style w:type="paragraph" w:customStyle="1" w:styleId="BasicParagraph">
    <w:name w:val="[Basic Paragraph]"/>
    <w:basedOn w:val="Normal"/>
    <w:uiPriority w:val="99"/>
    <w:rsid w:val="001A6D21"/>
    <w:pPr>
      <w:autoSpaceDE w:val="0"/>
      <w:autoSpaceDN w:val="0"/>
      <w:adjustRightInd w:val="0"/>
      <w:spacing w:before="0" w:after="113" w:line="288" w:lineRule="auto"/>
      <w:textAlignment w:val="center"/>
    </w:pPr>
    <w:rPr>
      <w:rFonts w:ascii="Tw Cen MT" w:hAnsi="Tw Cen MT" w:cs="Tw Cen MT"/>
      <w:color w:val="000000"/>
      <w:sz w:val="20"/>
      <w:szCs w:val="20"/>
    </w:rPr>
  </w:style>
  <w:style w:type="character" w:customStyle="1" w:styleId="SmollboldChar">
    <w:name w:val="Smoll bold Char"/>
    <w:basedOn w:val="NormalsmollChar"/>
    <w:link w:val="Smollbold"/>
    <w:rsid w:val="0094478F"/>
    <w:rPr>
      <w:b/>
      <w:color w:val="404040" w:themeColor="text1" w:themeTint="BF"/>
      <w:sz w:val="20"/>
    </w:rPr>
  </w:style>
  <w:style w:type="paragraph" w:customStyle="1" w:styleId="Plus">
    <w:name w:val="Plus"/>
    <w:basedOn w:val="NoSpacing"/>
    <w:link w:val="PlusChar"/>
    <w:qFormat/>
    <w:rsid w:val="00655925"/>
    <w:pPr>
      <w:numPr>
        <w:numId w:val="4"/>
      </w:numPr>
    </w:pPr>
  </w:style>
  <w:style w:type="paragraph" w:customStyle="1" w:styleId="minus">
    <w:name w:val="minus"/>
    <w:basedOn w:val="Plus"/>
    <w:link w:val="minusChar"/>
    <w:qFormat/>
    <w:rsid w:val="00655925"/>
    <w:pPr>
      <w:numPr>
        <w:numId w:val="5"/>
      </w:numPr>
    </w:pPr>
    <w:rPr>
      <w:color w:val="262626" w:themeColor="text1" w:themeTint="D9"/>
    </w:rPr>
  </w:style>
  <w:style w:type="character" w:customStyle="1" w:styleId="PlusChar">
    <w:name w:val="Plus Char"/>
    <w:basedOn w:val="NoSpacingChar"/>
    <w:link w:val="Plus"/>
    <w:rsid w:val="00655925"/>
    <w:rPr>
      <w:color w:val="404040" w:themeColor="text1" w:themeTint="BF"/>
      <w:sz w:val="24"/>
    </w:rPr>
  </w:style>
  <w:style w:type="character" w:customStyle="1" w:styleId="minusChar">
    <w:name w:val="minus Char"/>
    <w:basedOn w:val="PlusChar"/>
    <w:link w:val="minus"/>
    <w:rsid w:val="00655925"/>
    <w:rPr>
      <w:color w:val="262626" w:themeColor="text1" w:themeTint="D9"/>
      <w:sz w:val="24"/>
    </w:rPr>
  </w:style>
  <w:style w:type="paragraph" w:customStyle="1" w:styleId="Subtitle2">
    <w:name w:val="Subtitle_2"/>
    <w:basedOn w:val="Subtitle"/>
    <w:link w:val="Subtitle2Char"/>
    <w:qFormat/>
    <w:rsid w:val="00537980"/>
    <w:rPr>
      <w:color w:val="262626" w:themeColor="text1" w:themeTint="D9"/>
      <w:sz w:val="28"/>
    </w:rPr>
  </w:style>
  <w:style w:type="paragraph" w:customStyle="1" w:styleId="Subtatle2red">
    <w:name w:val="Subtatle_2red"/>
    <w:basedOn w:val="Subtitle2"/>
    <w:link w:val="Subtatle2redChar"/>
    <w:qFormat/>
    <w:rsid w:val="00D569DF"/>
    <w:rPr>
      <w:color w:val="FF0000"/>
    </w:rPr>
  </w:style>
  <w:style w:type="character" w:customStyle="1" w:styleId="Subtitle2Char">
    <w:name w:val="Subtitle_2 Char"/>
    <w:basedOn w:val="SubtitleChar"/>
    <w:link w:val="Subtitle2"/>
    <w:rsid w:val="00537980"/>
    <w:rPr>
      <w:rFonts w:eastAsiaTheme="majorEastAsia" w:cstheme="majorBidi"/>
      <w:b/>
      <w:iCs/>
      <w:color w:val="262626" w:themeColor="text1" w:themeTint="D9"/>
      <w:spacing w:val="15"/>
      <w:sz w:val="28"/>
      <w:szCs w:val="24"/>
    </w:rPr>
  </w:style>
  <w:style w:type="character" w:customStyle="1" w:styleId="Subtatle2redChar">
    <w:name w:val="Subtatle_2red Char"/>
    <w:basedOn w:val="Subtitle2Char"/>
    <w:link w:val="Subtatle2red"/>
    <w:rsid w:val="00D569DF"/>
    <w:rPr>
      <w:rFonts w:eastAsiaTheme="majorEastAsia" w:cstheme="majorBidi"/>
      <w:b/>
      <w:iCs/>
      <w:color w:val="FF0000"/>
      <w:spacing w:val="15"/>
      <w:sz w:val="28"/>
      <w:szCs w:val="24"/>
    </w:rPr>
  </w:style>
  <w:style w:type="paragraph" w:customStyle="1" w:styleId="Smoll">
    <w:name w:val="Smoll ***"/>
    <w:basedOn w:val="Normalsmoll"/>
    <w:link w:val="SmollChar"/>
    <w:qFormat/>
    <w:rsid w:val="00715B21"/>
    <w:pPr>
      <w:spacing w:before="120" w:after="0"/>
    </w:pPr>
  </w:style>
  <w:style w:type="paragraph" w:customStyle="1" w:styleId="Smoll0">
    <w:name w:val="Smoll** +"/>
    <w:basedOn w:val="Smoll"/>
    <w:link w:val="SmollChar0"/>
    <w:qFormat/>
    <w:rsid w:val="00715B21"/>
    <w:pPr>
      <w:spacing w:after="240"/>
    </w:pPr>
  </w:style>
  <w:style w:type="character" w:customStyle="1" w:styleId="SmollChar">
    <w:name w:val="Smoll *** Char"/>
    <w:basedOn w:val="NormalsmollChar"/>
    <w:link w:val="Smoll"/>
    <w:rsid w:val="00715B21"/>
    <w:rPr>
      <w:color w:val="404040" w:themeColor="text1" w:themeTint="BF"/>
      <w:sz w:val="20"/>
    </w:rPr>
  </w:style>
  <w:style w:type="paragraph" w:customStyle="1" w:styleId="Subtitlered">
    <w:name w:val="Subtitle red"/>
    <w:basedOn w:val="Subtitle"/>
    <w:link w:val="SubtitleredChar"/>
    <w:qFormat/>
    <w:rsid w:val="002D180F"/>
    <w:rPr>
      <w:color w:val="FF0000"/>
    </w:rPr>
  </w:style>
  <w:style w:type="character" w:customStyle="1" w:styleId="SmollChar0">
    <w:name w:val="Smoll** + Char"/>
    <w:basedOn w:val="SmollChar"/>
    <w:link w:val="Smoll0"/>
    <w:rsid w:val="00715B21"/>
    <w:rPr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2D180F"/>
    <w:rPr>
      <w:i/>
      <w:iCs/>
    </w:rPr>
  </w:style>
  <w:style w:type="character" w:customStyle="1" w:styleId="SubtitleredChar">
    <w:name w:val="Subtitle red Char"/>
    <w:basedOn w:val="SubtitleChar"/>
    <w:link w:val="Subtitlered"/>
    <w:rsid w:val="002D180F"/>
    <w:rPr>
      <w:rFonts w:eastAsiaTheme="majorEastAsia" w:cstheme="majorBidi"/>
      <w:b/>
      <w:iCs/>
      <w:color w:val="FF0000"/>
      <w:spacing w:val="15"/>
      <w:sz w:val="24"/>
      <w:szCs w:val="24"/>
    </w:rPr>
  </w:style>
  <w:style w:type="paragraph" w:customStyle="1" w:styleId="normalBS">
    <w:name w:val="normal BS"/>
    <w:basedOn w:val="Normal"/>
    <w:link w:val="normalBSChar"/>
    <w:qFormat/>
    <w:rsid w:val="007E6E19"/>
    <w:pPr>
      <w:spacing w:before="180" w:after="360"/>
    </w:pPr>
  </w:style>
  <w:style w:type="character" w:customStyle="1" w:styleId="normalBSChar">
    <w:name w:val="normal BS Char"/>
    <w:basedOn w:val="DefaultParagraphFont"/>
    <w:link w:val="normalBS"/>
    <w:rsid w:val="007E6E19"/>
    <w:rPr>
      <w:color w:val="404040" w:themeColor="text1" w:themeTint="BF"/>
      <w:sz w:val="24"/>
    </w:rPr>
  </w:style>
  <w:style w:type="paragraph" w:customStyle="1" w:styleId="Heading1-2">
    <w:name w:val="Heading 1-2"/>
    <w:basedOn w:val="Heading1"/>
    <w:link w:val="Heading1-2Char"/>
    <w:rsid w:val="00BF34D3"/>
    <w:pPr>
      <w:spacing w:before="480" w:after="720"/>
    </w:pPr>
    <w:rPr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BF34D3"/>
    <w:pPr>
      <w:spacing w:before="0" w:after="0"/>
    </w:pPr>
    <w:rPr>
      <w:color w:val="auto"/>
      <w:sz w:val="20"/>
      <w:szCs w:val="20"/>
    </w:rPr>
  </w:style>
  <w:style w:type="character" w:customStyle="1" w:styleId="Heading1-2Char">
    <w:name w:val="Heading 1-2 Char"/>
    <w:basedOn w:val="Heading1Char"/>
    <w:link w:val="Heading1-2"/>
    <w:rsid w:val="00BF34D3"/>
    <w:rPr>
      <w:rFonts w:ascii="Cambria" w:eastAsiaTheme="majorEastAsia" w:hAnsi="Cambria" w:cstheme="majorBidi"/>
      <w:b/>
      <w:bCs/>
      <w:caps/>
      <w:smallCaps w:val="0"/>
      <w:color w:val="0D0D0D" w:themeColor="text1" w:themeTint="F2"/>
      <w:sz w:val="4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34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34D3"/>
    <w:rPr>
      <w:vertAlign w:val="superscript"/>
    </w:rPr>
  </w:style>
  <w:style w:type="paragraph" w:customStyle="1" w:styleId="a">
    <w:name w:val="a"/>
    <w:aliases w:val="b,c..."/>
    <w:basedOn w:val="NoSpacing"/>
    <w:link w:val="aChar"/>
    <w:uiPriority w:val="99"/>
    <w:qFormat/>
    <w:rsid w:val="00CB0D61"/>
    <w:pPr>
      <w:numPr>
        <w:numId w:val="6"/>
      </w:numPr>
    </w:pPr>
  </w:style>
  <w:style w:type="paragraph" w:customStyle="1" w:styleId="ABC-2">
    <w:name w:val="ABC-2"/>
    <w:basedOn w:val="a"/>
    <w:link w:val="ABC-2Char"/>
    <w:qFormat/>
    <w:rsid w:val="00D4085A"/>
    <w:pPr>
      <w:numPr>
        <w:numId w:val="7"/>
      </w:numPr>
      <w:ind w:left="1656"/>
    </w:pPr>
    <w:rPr>
      <w:lang w:val="en-GB"/>
    </w:rPr>
  </w:style>
  <w:style w:type="character" w:customStyle="1" w:styleId="aChar">
    <w:name w:val="a Char"/>
    <w:aliases w:val="b Char,c... Char"/>
    <w:basedOn w:val="NoSpacingChar"/>
    <w:link w:val="a"/>
    <w:uiPriority w:val="99"/>
    <w:rsid w:val="00CB0D61"/>
    <w:rPr>
      <w:color w:val="404040" w:themeColor="text1" w:themeTint="BF"/>
      <w:sz w:val="24"/>
    </w:rPr>
  </w:style>
  <w:style w:type="paragraph" w:customStyle="1" w:styleId="N1">
    <w:name w:val="N1"/>
    <w:basedOn w:val="Number1"/>
    <w:link w:val="N1Char"/>
    <w:qFormat/>
    <w:rsid w:val="00E05E53"/>
    <w:rPr>
      <w:lang w:val="en-GB"/>
    </w:rPr>
  </w:style>
  <w:style w:type="character" w:customStyle="1" w:styleId="ABC-2Char">
    <w:name w:val="ABC-2 Char"/>
    <w:basedOn w:val="aChar"/>
    <w:link w:val="ABC-2"/>
    <w:rsid w:val="00D4085A"/>
    <w:rPr>
      <w:color w:val="404040" w:themeColor="text1" w:themeTint="BF"/>
      <w:sz w:val="24"/>
      <w:lang w:val="en-GB"/>
    </w:rPr>
  </w:style>
  <w:style w:type="paragraph" w:customStyle="1" w:styleId="bulet-2">
    <w:name w:val="bulet-2"/>
    <w:basedOn w:val="NoSpacing"/>
    <w:link w:val="bulet-2Char"/>
    <w:qFormat/>
    <w:rsid w:val="005B6852"/>
    <w:pPr>
      <w:ind w:left="1008"/>
    </w:pPr>
  </w:style>
  <w:style w:type="character" w:customStyle="1" w:styleId="N1Char">
    <w:name w:val="N1 Char"/>
    <w:basedOn w:val="Number1Char"/>
    <w:link w:val="N1"/>
    <w:rsid w:val="00E05E53"/>
    <w:rPr>
      <w:color w:val="404040" w:themeColor="text1" w:themeTint="BF"/>
      <w:sz w:val="24"/>
      <w:lang w:val="en-GB"/>
    </w:rPr>
  </w:style>
  <w:style w:type="character" w:customStyle="1" w:styleId="hp">
    <w:name w:val="hp"/>
    <w:basedOn w:val="DefaultParagraphFont"/>
    <w:rsid w:val="009B3EC2"/>
  </w:style>
  <w:style w:type="character" w:customStyle="1" w:styleId="bulet-2Char">
    <w:name w:val="bulet-2 Char"/>
    <w:basedOn w:val="NoSpacingChar"/>
    <w:link w:val="bulet-2"/>
    <w:rsid w:val="005B6852"/>
    <w:rPr>
      <w:color w:val="404040" w:themeColor="text1" w:themeTint="BF"/>
      <w:sz w:val="24"/>
    </w:rPr>
  </w:style>
  <w:style w:type="paragraph" w:customStyle="1" w:styleId="TitleChapter">
    <w:name w:val="Title Chapter"/>
    <w:basedOn w:val="Title"/>
    <w:link w:val="TitleChapterChar"/>
    <w:qFormat/>
    <w:rsid w:val="00E62C94"/>
    <w:rPr>
      <w:caps/>
      <w:smallCaps w:val="0"/>
      <w:color w:val="548DD4" w:themeColor="text2" w:themeTint="99"/>
      <w:sz w:val="80"/>
    </w:rPr>
  </w:style>
  <w:style w:type="paragraph" w:customStyle="1" w:styleId="Titelpage1">
    <w:name w:val="Titel page1"/>
    <w:basedOn w:val="Normal"/>
    <w:link w:val="Titelpage1Char"/>
    <w:qFormat/>
    <w:rsid w:val="00D22D3D"/>
    <w:rPr>
      <w:b/>
      <w:color w:val="FF0000"/>
      <w:sz w:val="80"/>
    </w:rPr>
  </w:style>
  <w:style w:type="character" w:customStyle="1" w:styleId="TitleChapterChar">
    <w:name w:val="Title Chapter Char"/>
    <w:basedOn w:val="TitleChar"/>
    <w:link w:val="TitleChapter"/>
    <w:rsid w:val="00E62C94"/>
    <w:rPr>
      <w:rFonts w:eastAsiaTheme="majorEastAsia" w:cstheme="majorBidi"/>
      <w:b/>
      <w:caps/>
      <w:smallCaps w:val="0"/>
      <w:color w:val="548DD4" w:themeColor="text2" w:themeTint="99"/>
      <w:spacing w:val="5"/>
      <w:kern w:val="28"/>
      <w:sz w:val="80"/>
      <w:szCs w:val="52"/>
    </w:rPr>
  </w:style>
  <w:style w:type="paragraph" w:customStyle="1" w:styleId="TitleBlack">
    <w:name w:val="Title Black"/>
    <w:basedOn w:val="Title"/>
    <w:link w:val="TitleBlackChar"/>
    <w:qFormat/>
    <w:rsid w:val="006916C1"/>
    <w:pPr>
      <w:spacing w:after="360"/>
    </w:pPr>
    <w:rPr>
      <w:color w:val="262626" w:themeColor="text1" w:themeTint="D9"/>
      <w:sz w:val="36"/>
    </w:rPr>
  </w:style>
  <w:style w:type="character" w:customStyle="1" w:styleId="Titelpage1Char">
    <w:name w:val="Titel page1 Char"/>
    <w:basedOn w:val="DefaultParagraphFont"/>
    <w:link w:val="Titelpage1"/>
    <w:rsid w:val="00D22D3D"/>
    <w:rPr>
      <w:b/>
      <w:color w:val="FF0000"/>
      <w:sz w:val="80"/>
    </w:rPr>
  </w:style>
  <w:style w:type="character" w:customStyle="1" w:styleId="TitleBlackChar">
    <w:name w:val="Title Black Char"/>
    <w:basedOn w:val="TitleChar"/>
    <w:link w:val="TitleBlack"/>
    <w:rsid w:val="006916C1"/>
    <w:rPr>
      <w:rFonts w:eastAsiaTheme="majorEastAsia" w:cstheme="majorBidi"/>
      <w:b/>
      <w:smallCaps/>
      <w:color w:val="262626" w:themeColor="text1" w:themeTint="D9"/>
      <w:spacing w:val="5"/>
      <w:kern w:val="28"/>
      <w:sz w:val="36"/>
      <w:szCs w:val="52"/>
    </w:rPr>
  </w:style>
  <w:style w:type="table" w:customStyle="1" w:styleId="PeerGroup">
    <w:name w:val="Peer Group"/>
    <w:basedOn w:val="TableNormal"/>
    <w:uiPriority w:val="99"/>
    <w:rsid w:val="00E44980"/>
    <w:rPr>
      <w:rFonts w:ascii="Calibri" w:hAnsi="Calibri"/>
      <w:sz w:val="16"/>
    </w:rPr>
    <w:tblPr>
      <w:tblStyleRowBandSize w:val="1"/>
      <w:tblInd w:w="0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vAlign w:val="center"/>
    </w:tcPr>
    <w:tblStylePr w:type="firstRow">
      <w:rPr>
        <w:rFonts w:asciiTheme="minorHAnsi" w:hAnsiTheme="minorHAnsi"/>
        <w:b/>
        <w:color w:val="FFFFFF" w:themeColor="background1"/>
      </w:rPr>
      <w:tblPr/>
      <w:tcPr>
        <w:tcBorders>
          <w:bottom w:val="thinThickSmallGap" w:sz="18" w:space="0" w:color="FF0000"/>
          <w:insideH w:val="thinThickSmallGap" w:sz="18" w:space="0" w:color="FF0000"/>
        </w:tcBorders>
        <w:shd w:val="clear" w:color="auto" w:fill="A6A6A6" w:themeFill="background1" w:themeFillShade="A6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smoll09">
    <w:name w:val="smoll 09"/>
    <w:basedOn w:val="Normalsmoll"/>
    <w:link w:val="smoll09Char"/>
    <w:qFormat/>
    <w:rsid w:val="00E44980"/>
    <w:pPr>
      <w:spacing w:before="60" w:after="60"/>
    </w:pPr>
    <w:rPr>
      <w:rFonts w:ascii="Calibri" w:hAnsi="Calibri"/>
      <w:sz w:val="18"/>
    </w:rPr>
  </w:style>
  <w:style w:type="character" w:customStyle="1" w:styleId="smoll09Char">
    <w:name w:val="smoll 09 Char"/>
    <w:basedOn w:val="NormalsmollChar"/>
    <w:link w:val="smoll09"/>
    <w:rsid w:val="00E44980"/>
    <w:rPr>
      <w:rFonts w:ascii="Calibri" w:hAnsi="Calibri"/>
      <w:color w:val="404040" w:themeColor="text1" w:themeTint="BF"/>
      <w:sz w:val="18"/>
    </w:rPr>
  </w:style>
  <w:style w:type="paragraph" w:customStyle="1" w:styleId="ParagraphStyle2">
    <w:name w:val="Paragraph Style 2"/>
    <w:basedOn w:val="Normal"/>
    <w:uiPriority w:val="99"/>
    <w:rsid w:val="00B80A6D"/>
    <w:pPr>
      <w:autoSpaceDE w:val="0"/>
      <w:autoSpaceDN w:val="0"/>
      <w:adjustRightInd w:val="0"/>
      <w:spacing w:before="490"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Normalred">
    <w:name w:val="Normal red"/>
    <w:basedOn w:val="Normal"/>
    <w:link w:val="NormalredChar"/>
    <w:qFormat/>
    <w:rsid w:val="00B80A6D"/>
    <w:pPr>
      <w:spacing w:before="0" w:after="0"/>
      <w:jc w:val="right"/>
    </w:pPr>
    <w:rPr>
      <w:b/>
      <w:color w:val="FF0000"/>
      <w:sz w:val="28"/>
    </w:rPr>
  </w:style>
  <w:style w:type="character" w:customStyle="1" w:styleId="NormalredChar">
    <w:name w:val="Normal red Char"/>
    <w:basedOn w:val="DefaultParagraphFont"/>
    <w:link w:val="Normalred"/>
    <w:rsid w:val="00B80A6D"/>
    <w:rPr>
      <w:b/>
      <w:color w:val="FF000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651A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Default">
    <w:name w:val="Default"/>
    <w:rsid w:val="001716AD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Paragraph">
    <w:name w:val="Paragraph"/>
    <w:basedOn w:val="NormalWeb"/>
    <w:link w:val="ParagraphChar"/>
    <w:qFormat/>
    <w:rsid w:val="009D3492"/>
    <w:pPr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ParagraphChar">
    <w:name w:val="Paragraph Char"/>
    <w:basedOn w:val="DefaultParagraphFont"/>
    <w:link w:val="Paragraph"/>
    <w:rsid w:val="009D3492"/>
    <w:rPr>
      <w:sz w:val="24"/>
      <w:szCs w:val="24"/>
    </w:rPr>
  </w:style>
  <w:style w:type="paragraph" w:styleId="DocumentMap">
    <w:name w:val="Document Map"/>
    <w:basedOn w:val="Normal"/>
    <w:link w:val="DocumentMapChar"/>
    <w:rsid w:val="00015AE2"/>
    <w:pPr>
      <w:spacing w:before="0" w:after="0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rsid w:val="00015AE2"/>
    <w:rPr>
      <w:rFonts w:ascii="Lucida Grande" w:hAnsi="Lucida Grande" w:cs="Lucida Grande"/>
      <w:color w:val="404040" w:themeColor="text1" w:themeTint="BF"/>
      <w:sz w:val="24"/>
      <w:szCs w:val="24"/>
    </w:rPr>
  </w:style>
  <w:style w:type="paragraph" w:styleId="Revision">
    <w:name w:val="Revision"/>
    <w:hidden/>
    <w:rsid w:val="000C3C94"/>
    <w:rPr>
      <w:color w:val="404040" w:themeColor="text1" w:themeTint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 w:qFormat="1"/>
    <w:lsdException w:name="toc 2" w:uiPriority="39" w:qFormat="1"/>
    <w:lsdException w:name="toc 3" w:uiPriority="39" w:qFormat="1"/>
    <w:lsdException w:name="Hyperlink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FA77FF"/>
    <w:pPr>
      <w:spacing w:before="60" w:after="240"/>
    </w:pPr>
    <w:rPr>
      <w:color w:val="404040" w:themeColor="text1" w:themeTint="BF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7176"/>
    <w:pPr>
      <w:keepNext/>
      <w:keepLines/>
      <w:spacing w:before="0" w:after="0"/>
      <w:ind w:right="-18"/>
      <w:outlineLvl w:val="0"/>
    </w:pPr>
    <w:rPr>
      <w:rFonts w:ascii="Cambria" w:hAnsi="Cambria"/>
      <w:color w:val="FF0000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5CA"/>
    <w:pPr>
      <w:keepNext/>
      <w:keepLines/>
      <w:spacing w:before="480" w:after="720"/>
      <w:outlineLvl w:val="1"/>
    </w:pPr>
    <w:rPr>
      <w:rFonts w:eastAsiaTheme="majorEastAsia" w:cstheme="majorBidi"/>
      <w:b/>
      <w:bCs/>
      <w:smallCaps/>
      <w:color w:val="FF0000"/>
      <w:sz w:val="40"/>
      <w:szCs w:val="26"/>
    </w:rPr>
  </w:style>
  <w:style w:type="paragraph" w:styleId="Heading3">
    <w:name w:val="heading 3"/>
    <w:basedOn w:val="Heading2"/>
    <w:next w:val="Heading2"/>
    <w:link w:val="Heading3Char"/>
    <w:uiPriority w:val="9"/>
    <w:unhideWhenUsed/>
    <w:qFormat/>
    <w:rsid w:val="00E6763A"/>
    <w:pPr>
      <w:spacing w:before="360"/>
      <w:outlineLvl w:val="2"/>
    </w:pPr>
    <w:rPr>
      <w:bCs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7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51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EB2"/>
    <w:tblPr>
      <w:tblStyleRowBandSize w:val="1"/>
      <w:tblInd w:w="0" w:type="dxa"/>
      <w:tblBorders>
        <w:insideH w:val="single" w:sz="36" w:space="0" w:color="FFFFFF" w:themeColor="background1"/>
        <w:insideV w:val="single" w:sz="36" w:space="0" w:color="FFFFFF" w:themeColor="background1"/>
      </w:tblBorders>
      <w:tblCellMar>
        <w:top w:w="216" w:type="dxa"/>
        <w:left w:w="216" w:type="dxa"/>
        <w:bottom w:w="216" w:type="dxa"/>
        <w:right w:w="216" w:type="dxa"/>
      </w:tblCellMar>
    </w:tblPr>
    <w:tcPr>
      <w:shd w:val="clear" w:color="auto" w:fill="D9D9D9" w:themeFill="background1" w:themeFillShade="D9"/>
    </w:tcPr>
    <w:tblStylePr w:type="firstRow">
      <w:tblPr/>
      <w:tcPr>
        <w:shd w:val="clear" w:color="auto" w:fill="BFBFBF" w:themeFill="background1" w:themeFillShade="BF"/>
      </w:tcPr>
    </w:tblStylePr>
    <w:tblStylePr w:type="firstCol">
      <w:tblPr/>
      <w:tcPr>
        <w:shd w:val="clear" w:color="auto" w:fill="EAEAEA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01FFD"/>
    <w:pPr>
      <w:ind w:left="720"/>
      <w:contextualSpacing/>
    </w:pPr>
  </w:style>
  <w:style w:type="paragraph" w:styleId="BodyText">
    <w:name w:val="Body Text"/>
    <w:basedOn w:val="Normal"/>
    <w:link w:val="BodyTextChar1"/>
    <w:rsid w:val="00ED11D2"/>
    <w:pPr>
      <w:spacing w:before="140" w:after="140"/>
    </w:pPr>
    <w:rPr>
      <w:rFonts w:ascii="Cambria" w:eastAsia="Times New Roman" w:hAnsi="Cambria" w:cs="Times New Roman"/>
      <w:lang w:val="en-GB" w:eastAsia="en-GB"/>
    </w:rPr>
  </w:style>
  <w:style w:type="character" w:customStyle="1" w:styleId="BodyTextChar">
    <w:name w:val="Body Text Char"/>
    <w:basedOn w:val="DefaultParagraphFont"/>
    <w:uiPriority w:val="99"/>
    <w:semiHidden/>
    <w:rsid w:val="00ED11D2"/>
  </w:style>
  <w:style w:type="character" w:customStyle="1" w:styleId="BodyTextChar1">
    <w:name w:val="Body Text Char1"/>
    <w:link w:val="BodyText"/>
    <w:rsid w:val="00ED11D2"/>
    <w:rPr>
      <w:rFonts w:ascii="Cambria" w:eastAsia="Times New Roman" w:hAnsi="Cambria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BA"/>
    <w:rPr>
      <w:rFonts w:ascii="Tahoma" w:hAnsi="Tahoma" w:cs="Tahoma"/>
      <w:sz w:val="16"/>
      <w:szCs w:val="16"/>
    </w:rPr>
  </w:style>
  <w:style w:type="paragraph" w:customStyle="1" w:styleId="regcopy">
    <w:name w:val="reg copy"/>
    <w:basedOn w:val="Normal"/>
    <w:uiPriority w:val="99"/>
    <w:rsid w:val="00B646BA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BE7176"/>
    <w:rPr>
      <w:rFonts w:ascii="Cambria" w:hAnsi="Cambria"/>
      <w:color w:val="FF0000"/>
      <w:sz w:val="40"/>
    </w:rPr>
  </w:style>
  <w:style w:type="character" w:styleId="IntenseReference">
    <w:name w:val="Intense Reference"/>
    <w:basedOn w:val="DefaultParagraphFont"/>
    <w:uiPriority w:val="32"/>
    <w:qFormat/>
    <w:rsid w:val="00AA7653"/>
    <w:rPr>
      <w:b/>
      <w:bCs/>
      <w:smallCaps/>
      <w:color w:val="ED1C24" w:themeColor="accent2"/>
      <w:spacing w:val="5"/>
      <w:u w:val="single"/>
    </w:rPr>
  </w:style>
  <w:style w:type="paragraph" w:styleId="NoSpacing">
    <w:name w:val="No Spacing"/>
    <w:link w:val="NoSpacingChar"/>
    <w:uiPriority w:val="1"/>
    <w:qFormat/>
    <w:rsid w:val="00957BE4"/>
    <w:pPr>
      <w:numPr>
        <w:numId w:val="1"/>
      </w:numPr>
      <w:spacing w:after="120"/>
      <w:ind w:left="576" w:hanging="288"/>
    </w:pPr>
    <w:rPr>
      <w:color w:val="404040" w:themeColor="text1" w:themeTint="BF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815CA"/>
    <w:rPr>
      <w:rFonts w:eastAsiaTheme="majorEastAsia" w:cstheme="majorBidi"/>
      <w:b/>
      <w:bCs/>
      <w:smallCaps/>
      <w:color w:val="FF0000"/>
      <w:sz w:val="40"/>
      <w:szCs w:val="26"/>
    </w:rPr>
  </w:style>
  <w:style w:type="paragraph" w:styleId="NormalWeb">
    <w:name w:val="Normal (Web)"/>
    <w:basedOn w:val="Normal"/>
    <w:uiPriority w:val="99"/>
    <w:unhideWhenUsed/>
    <w:rsid w:val="0032070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t1">
    <w:name w:val="st1"/>
    <w:basedOn w:val="DefaultParagraphFont"/>
    <w:rsid w:val="00320708"/>
  </w:style>
  <w:style w:type="character" w:customStyle="1" w:styleId="Heading3Char">
    <w:name w:val="Heading 3 Char"/>
    <w:basedOn w:val="DefaultParagraphFont"/>
    <w:link w:val="Heading3"/>
    <w:uiPriority w:val="9"/>
    <w:rsid w:val="00E6763A"/>
    <w:rPr>
      <w:rFonts w:eastAsiaTheme="majorEastAsia" w:cstheme="majorBidi"/>
      <w:b/>
      <w:color w:val="0D0D0D" w:themeColor="text1" w:themeTint="F2"/>
      <w:sz w:val="28"/>
      <w:szCs w:val="26"/>
    </w:rPr>
  </w:style>
  <w:style w:type="table" w:styleId="DarkList-Accent2">
    <w:name w:val="Dark List Accent 2"/>
    <w:aliases w:val="AMAG_3,AMAG_2"/>
    <w:basedOn w:val="TableNormal"/>
    <w:uiPriority w:val="70"/>
    <w:rsid w:val="0082119E"/>
    <w:pPr>
      <w:jc w:val="center"/>
    </w:pPr>
    <w:rPr>
      <w:color w:val="FFFFFF" w:themeColor="background1"/>
    </w:rPr>
    <w:tblPr>
      <w:tblStyleRowBandSize w:val="1"/>
      <w:tblStyleColBandSize w:val="1"/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  <w:tcMar>
        <w:top w:w="144" w:type="dxa"/>
        <w:left w:w="115" w:type="dxa"/>
        <w:right w:w="115" w:type="dxa"/>
      </w:tcMar>
      <w:vAlign w:val="center"/>
    </w:tcPr>
    <w:tblStylePr w:type="firstRow">
      <w:pPr>
        <w:jc w:val="center"/>
      </w:pPr>
      <w:rPr>
        <w:rFonts w:asciiTheme="minorHAnsi" w:hAnsiTheme="minorHAnsi"/>
        <w:b/>
        <w:bCs/>
        <w:caps/>
        <w:smallCaps w:val="0"/>
        <w:color w:val="FFFFFF" w:themeColor="background1"/>
        <w:sz w:val="24"/>
      </w:rPr>
      <w:tblPr/>
      <w:tcPr>
        <w:tcBorders>
          <w:bottom w:val="thinThickSmallGap" w:sz="24" w:space="0" w:color="FF0000"/>
          <w:right w:val="nil"/>
          <w:insideH w:val="nil"/>
        </w:tcBorders>
        <w:shd w:val="clear" w:color="auto" w:fill="A6A6A6" w:themeFill="background1" w:themeFillShade="A6"/>
      </w:tcPr>
    </w:tblStylePr>
    <w:tblStylePr w:type="firstCol">
      <w:rPr>
        <w:b w:val="0"/>
        <w:color w:val="A6A6A6" w:themeColor="background1" w:themeShade="A6"/>
      </w:rPr>
      <w:tblPr/>
      <w:tcPr>
        <w:tcBorders>
          <w:top w:val="nil"/>
          <w:left w:val="nil"/>
          <w:bottom w:val="nil"/>
          <w:right w:val="nil"/>
          <w:insideH w:val="single" w:sz="24" w:space="0" w:color="FFFFFF" w:themeColor="background1"/>
          <w:insideV w:val="single" w:sz="24" w:space="0" w:color="FFFFFF" w:themeColor="background1"/>
        </w:tcBorders>
        <w:shd w:val="clear" w:color="auto" w:fill="BFBFBF" w:themeFill="background1" w:themeFillShade="BF"/>
      </w:tcPr>
    </w:tblStylePr>
    <w:tblStylePr w:type="band1Horz">
      <w:rPr>
        <w:color w:val="000000" w:themeColor="text1"/>
      </w:rPr>
      <w:tblPr/>
      <w:tcPr>
        <w:tc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nil"/>
          <w:insideH w:val="single" w:sz="24" w:space="0" w:color="FFFFFF" w:themeColor="background1"/>
          <w:insideV w:val="single" w:sz="2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color w:val="000000" w:themeColor="text1"/>
      </w:rPr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3523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35237"/>
    <w:rPr>
      <w:color w:val="404040" w:themeColor="text1" w:themeTint="BF"/>
      <w:sz w:val="24"/>
    </w:rPr>
  </w:style>
  <w:style w:type="paragraph" w:styleId="Footer">
    <w:name w:val="footer"/>
    <w:basedOn w:val="Normal"/>
    <w:link w:val="FooterChar"/>
    <w:uiPriority w:val="99"/>
    <w:unhideWhenUsed/>
    <w:rsid w:val="00A352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35237"/>
    <w:rPr>
      <w:color w:val="404040" w:themeColor="text1" w:themeTint="BF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454DA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54DA"/>
    <w:pPr>
      <w:spacing w:before="0" w:after="100" w:line="276" w:lineRule="auto"/>
      <w:ind w:left="220"/>
    </w:pPr>
    <w:rPr>
      <w:rFonts w:eastAsiaTheme="minorEastAsia"/>
      <w:color w:val="auto"/>
      <w:sz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37432"/>
    <w:pPr>
      <w:tabs>
        <w:tab w:val="right" w:leader="dot" w:pos="9720"/>
      </w:tabs>
      <w:spacing w:after="0" w:line="276" w:lineRule="auto"/>
      <w:ind w:right="-14"/>
    </w:pPr>
    <w:rPr>
      <w:rFonts w:eastAsiaTheme="minorEastAsia"/>
      <w:color w:val="auto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454DA"/>
    <w:pPr>
      <w:spacing w:before="0" w:after="100" w:line="276" w:lineRule="auto"/>
      <w:ind w:left="440"/>
    </w:pPr>
    <w:rPr>
      <w:rFonts w:eastAsiaTheme="minorEastAsia"/>
      <w:color w:val="auto"/>
      <w:sz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F84F1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5255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3E45"/>
    <w:pPr>
      <w:spacing w:before="0" w:after="720"/>
      <w:contextualSpacing/>
    </w:pPr>
    <w:rPr>
      <w:rFonts w:eastAsiaTheme="majorEastAsia" w:cstheme="majorBidi"/>
      <w:b/>
      <w:smallCaps/>
      <w:color w:val="FF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3E45"/>
    <w:rPr>
      <w:rFonts w:eastAsiaTheme="majorEastAsia" w:cstheme="majorBidi"/>
      <w:b/>
      <w:smallCaps/>
      <w:color w:val="FF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77FF"/>
    <w:pPr>
      <w:numPr>
        <w:ilvl w:val="1"/>
      </w:numPr>
      <w:spacing w:before="360" w:after="120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77FF"/>
    <w:rPr>
      <w:rFonts w:eastAsiaTheme="majorEastAsia" w:cstheme="majorBidi"/>
      <w:b/>
      <w:iCs/>
      <w:color w:val="404040" w:themeColor="text1" w:themeTint="BF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04B3"/>
    <w:rPr>
      <w:rFonts w:asciiTheme="minorHAnsi" w:hAnsiTheme="minorHAnsi"/>
      <w:i w:val="0"/>
      <w:iCs/>
      <w:color w:val="92CDDC" w:themeColor="accent5" w:themeTint="99"/>
      <w:sz w:val="24"/>
    </w:rPr>
  </w:style>
  <w:style w:type="character" w:styleId="SubtleReference">
    <w:name w:val="Subtle Reference"/>
    <w:basedOn w:val="DefaultParagraphFont"/>
    <w:uiPriority w:val="31"/>
    <w:qFormat/>
    <w:rsid w:val="006B7769"/>
    <w:rPr>
      <w:smallCaps/>
      <w:color w:val="ED1C24" w:themeColor="accent2"/>
      <w:u w:val="single"/>
    </w:rPr>
  </w:style>
  <w:style w:type="table" w:styleId="LightList-Accent2">
    <w:name w:val="Light List Accent 2"/>
    <w:basedOn w:val="TableNormal"/>
    <w:uiPriority w:val="61"/>
    <w:rsid w:val="00045941"/>
    <w:tblPr>
      <w:tblStyleRowBandSize w:val="1"/>
      <w:tblStyleColBandSize w:val="1"/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24" w:space="0" w:color="FF0000"/>
          <w:left w:val="nil"/>
          <w:bottom w:val="nil"/>
          <w:right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2"/>
          <w:left w:val="single" w:sz="8" w:space="0" w:color="ED1C24" w:themeColor="accent2"/>
          <w:bottom w:val="single" w:sz="8" w:space="0" w:color="ED1C24" w:themeColor="accent2"/>
          <w:right w:val="single" w:sz="8" w:space="0" w:color="ED1C24" w:themeColor="accent2"/>
        </w:tcBorders>
      </w:tcPr>
    </w:tblStylePr>
    <w:tblStylePr w:type="firstCol">
      <w:rPr>
        <w:rFonts w:asciiTheme="minorHAnsi" w:hAnsiTheme="minorHAnsi"/>
        <w:b/>
        <w:bCs/>
        <w:sz w:val="24"/>
      </w:rPr>
      <w:tblPr/>
      <w:tcPr>
        <w:tcBorders>
          <w:top w:val="nil"/>
        </w:tcBorders>
        <w:shd w:val="clear" w:color="auto" w:fill="FF0000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2"/>
          <w:left w:val="single" w:sz="8" w:space="0" w:color="ED1C24" w:themeColor="accent2"/>
          <w:bottom w:val="single" w:sz="8" w:space="0" w:color="ED1C24" w:themeColor="accent2"/>
          <w:right w:val="single" w:sz="8" w:space="0" w:color="ED1C24" w:themeColor="accent2"/>
        </w:tcBorders>
      </w:tcPr>
    </w:tblStylePr>
    <w:tblStylePr w:type="band1Horz">
      <w:tblPr/>
      <w:tcPr>
        <w:tcBorders>
          <w:top w:val="single" w:sz="8" w:space="0" w:color="ED1C24" w:themeColor="accent2"/>
          <w:left w:val="single" w:sz="8" w:space="0" w:color="ED1C24" w:themeColor="accent2"/>
          <w:bottom w:val="single" w:sz="8" w:space="0" w:color="ED1C24" w:themeColor="accent2"/>
          <w:right w:val="single" w:sz="8" w:space="0" w:color="ED1C24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045941"/>
    <w:rPr>
      <w:color w:val="B70E14" w:themeColor="accent2" w:themeShade="BF"/>
    </w:rPr>
    <w:tblPr>
      <w:tblStyleRowBandSize w:val="1"/>
      <w:tblStyleColBandSize w:val="1"/>
      <w:tblInd w:w="0" w:type="dxa"/>
      <w:tblBorders>
        <w:top w:val="single" w:sz="8" w:space="0" w:color="ED1C24" w:themeColor="accent2"/>
        <w:bottom w:val="single" w:sz="8" w:space="0" w:color="ED1C2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2"/>
          <w:left w:val="nil"/>
          <w:bottom w:val="single" w:sz="8" w:space="0" w:color="ED1C2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2"/>
          <w:left w:val="nil"/>
          <w:bottom w:val="single" w:sz="8" w:space="0" w:color="ED1C2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2" w:themeFillTint="3F"/>
      </w:tcPr>
    </w:tblStylePr>
  </w:style>
  <w:style w:type="table" w:styleId="MediumShading2-Accent2">
    <w:name w:val="Medium Shading 2 Accent 2"/>
    <w:basedOn w:val="TableNormal"/>
    <w:uiPriority w:val="64"/>
    <w:rsid w:val="0004594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04594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2">
    <w:name w:val="Medium Grid 3 Accent 2"/>
    <w:basedOn w:val="TableNormal"/>
    <w:uiPriority w:val="69"/>
    <w:rsid w:val="00D4582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6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2" w:themeFillTint="7F"/>
      </w:tcPr>
    </w:tblStylePr>
  </w:style>
  <w:style w:type="table" w:customStyle="1" w:styleId="Style1">
    <w:name w:val="Style1"/>
    <w:basedOn w:val="TableNormal"/>
    <w:uiPriority w:val="99"/>
    <w:rsid w:val="00D45822"/>
    <w:tblPr>
      <w:tblInd w:w="0" w:type="dxa"/>
      <w:tblBorders>
        <w:top w:val="single" w:sz="24" w:space="0" w:color="FF0000"/>
        <w:left w:val="single" w:sz="24" w:space="0" w:color="FF0000"/>
        <w:right w:val="single" w:sz="24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FF0000"/>
      </w:tcPr>
    </w:tblStylePr>
  </w:style>
  <w:style w:type="table" w:customStyle="1" w:styleId="Style2">
    <w:name w:val="Style2"/>
    <w:basedOn w:val="TableNormal"/>
    <w:uiPriority w:val="99"/>
    <w:rsid w:val="00D45822"/>
    <w:tblPr>
      <w:tblStyleRowBandSize w:val="1"/>
      <w:tblStyleColBandSize w:val="1"/>
      <w:tblInd w:w="0" w:type="dxa"/>
      <w:tblBorders>
        <w:top w:val="single" w:sz="24" w:space="0" w:color="FF0000"/>
        <w:left w:val="single" w:sz="24" w:space="0" w:color="FF0000"/>
        <w:right w:val="single" w:sz="24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rPr>
        <w:color w:val="FFFFFF" w:themeColor="background1"/>
      </w:rPr>
    </w:tblStylePr>
    <w:tblStylePr w:type="lastCol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FF0000"/>
      </w:tcPr>
    </w:tblStylePr>
    <w:tblStylePr w:type="band1Vert">
      <w:tblPr/>
      <w:tcPr>
        <w:shd w:val="clear" w:color="auto" w:fill="FF0000"/>
      </w:tcPr>
    </w:tblStylePr>
  </w:style>
  <w:style w:type="table" w:styleId="LightShading">
    <w:name w:val="Light Shading"/>
    <w:basedOn w:val="TableNormal"/>
    <w:uiPriority w:val="60"/>
    <w:rsid w:val="00D4582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4582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D4582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BookTitle">
    <w:name w:val="Book Title"/>
    <w:basedOn w:val="DefaultParagraphFont"/>
    <w:uiPriority w:val="33"/>
    <w:qFormat/>
    <w:rsid w:val="00431130"/>
    <w:rPr>
      <w:b/>
      <w:bCs/>
      <w:smallCaps/>
      <w:spacing w:val="5"/>
    </w:rPr>
  </w:style>
  <w:style w:type="paragraph" w:customStyle="1" w:styleId="Number1">
    <w:name w:val="Number_1"/>
    <w:basedOn w:val="NoSpacing"/>
    <w:link w:val="Number1Char"/>
    <w:qFormat/>
    <w:rsid w:val="00E05E53"/>
    <w:pPr>
      <w:numPr>
        <w:numId w:val="2"/>
      </w:numPr>
      <w:spacing w:before="120" w:after="240"/>
      <w:ind w:left="432" w:hanging="432"/>
    </w:pPr>
  </w:style>
  <w:style w:type="paragraph" w:customStyle="1" w:styleId="Number2">
    <w:name w:val="Number_2"/>
    <w:basedOn w:val="Number1"/>
    <w:link w:val="Number2Char"/>
    <w:qFormat/>
    <w:rsid w:val="00CB0D61"/>
    <w:pPr>
      <w:numPr>
        <w:numId w:val="3"/>
      </w:numPr>
      <w:spacing w:before="0" w:after="120"/>
      <w:ind w:left="1152" w:hanging="576"/>
    </w:pPr>
    <w:rPr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F27AF9"/>
    <w:rPr>
      <w:color w:val="404040" w:themeColor="text1" w:themeTint="BF"/>
      <w:sz w:val="24"/>
    </w:rPr>
  </w:style>
  <w:style w:type="character" w:customStyle="1" w:styleId="Number1Char">
    <w:name w:val="Number_1 Char"/>
    <w:basedOn w:val="NoSpacingChar"/>
    <w:link w:val="Number1"/>
    <w:rsid w:val="00E05E53"/>
    <w:rPr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676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umber2Char">
    <w:name w:val="Number_2 Char"/>
    <w:basedOn w:val="Number1Char"/>
    <w:link w:val="Number2"/>
    <w:rsid w:val="00CB0D61"/>
    <w:rPr>
      <w:iCs/>
      <w:color w:val="404040" w:themeColor="text1" w:themeTint="BF"/>
      <w:sz w:val="24"/>
    </w:rPr>
  </w:style>
  <w:style w:type="paragraph" w:customStyle="1" w:styleId="Normalsmoll">
    <w:name w:val="Normal smoll"/>
    <w:basedOn w:val="Normal"/>
    <w:link w:val="NormalsmollChar"/>
    <w:qFormat/>
    <w:rsid w:val="007C7A7B"/>
    <w:pPr>
      <w:spacing w:before="0" w:after="120"/>
    </w:pPr>
    <w:rPr>
      <w:sz w:val="20"/>
    </w:rPr>
  </w:style>
  <w:style w:type="paragraph" w:customStyle="1" w:styleId="Smollbold">
    <w:name w:val="Smoll bold"/>
    <w:basedOn w:val="Normalsmoll"/>
    <w:link w:val="SmollboldChar"/>
    <w:qFormat/>
    <w:rsid w:val="0094478F"/>
    <w:pPr>
      <w:spacing w:before="240"/>
    </w:pPr>
    <w:rPr>
      <w:b/>
    </w:rPr>
  </w:style>
  <w:style w:type="character" w:customStyle="1" w:styleId="NormalsmollChar">
    <w:name w:val="Normal smoll Char"/>
    <w:basedOn w:val="DefaultParagraphFont"/>
    <w:link w:val="Normalsmoll"/>
    <w:rsid w:val="007C7A7B"/>
    <w:rPr>
      <w:color w:val="404040" w:themeColor="text1" w:themeTint="BF"/>
      <w:sz w:val="20"/>
    </w:rPr>
  </w:style>
  <w:style w:type="paragraph" w:customStyle="1" w:styleId="BasicParagraph">
    <w:name w:val="[Basic Paragraph]"/>
    <w:basedOn w:val="Normal"/>
    <w:uiPriority w:val="99"/>
    <w:rsid w:val="001A6D21"/>
    <w:pPr>
      <w:autoSpaceDE w:val="0"/>
      <w:autoSpaceDN w:val="0"/>
      <w:adjustRightInd w:val="0"/>
      <w:spacing w:before="0" w:after="113" w:line="288" w:lineRule="auto"/>
      <w:textAlignment w:val="center"/>
    </w:pPr>
    <w:rPr>
      <w:rFonts w:ascii="Tw Cen MT" w:hAnsi="Tw Cen MT" w:cs="Tw Cen MT"/>
      <w:color w:val="000000"/>
      <w:sz w:val="20"/>
      <w:szCs w:val="20"/>
    </w:rPr>
  </w:style>
  <w:style w:type="character" w:customStyle="1" w:styleId="SmollboldChar">
    <w:name w:val="Smoll bold Char"/>
    <w:basedOn w:val="NormalsmollChar"/>
    <w:link w:val="Smollbold"/>
    <w:rsid w:val="0094478F"/>
    <w:rPr>
      <w:b/>
      <w:color w:val="404040" w:themeColor="text1" w:themeTint="BF"/>
      <w:sz w:val="20"/>
    </w:rPr>
  </w:style>
  <w:style w:type="paragraph" w:customStyle="1" w:styleId="Plus">
    <w:name w:val="Plus"/>
    <w:basedOn w:val="NoSpacing"/>
    <w:link w:val="PlusChar"/>
    <w:qFormat/>
    <w:rsid w:val="00655925"/>
    <w:pPr>
      <w:numPr>
        <w:numId w:val="4"/>
      </w:numPr>
    </w:pPr>
  </w:style>
  <w:style w:type="paragraph" w:customStyle="1" w:styleId="minus">
    <w:name w:val="minus"/>
    <w:basedOn w:val="Plus"/>
    <w:link w:val="minusChar"/>
    <w:qFormat/>
    <w:rsid w:val="00655925"/>
    <w:pPr>
      <w:numPr>
        <w:numId w:val="5"/>
      </w:numPr>
    </w:pPr>
    <w:rPr>
      <w:color w:val="262626" w:themeColor="text1" w:themeTint="D9"/>
    </w:rPr>
  </w:style>
  <w:style w:type="character" w:customStyle="1" w:styleId="PlusChar">
    <w:name w:val="Plus Char"/>
    <w:basedOn w:val="NoSpacingChar"/>
    <w:link w:val="Plus"/>
    <w:rsid w:val="00655925"/>
    <w:rPr>
      <w:color w:val="404040" w:themeColor="text1" w:themeTint="BF"/>
      <w:sz w:val="24"/>
    </w:rPr>
  </w:style>
  <w:style w:type="character" w:customStyle="1" w:styleId="minusChar">
    <w:name w:val="minus Char"/>
    <w:basedOn w:val="PlusChar"/>
    <w:link w:val="minus"/>
    <w:rsid w:val="00655925"/>
    <w:rPr>
      <w:color w:val="262626" w:themeColor="text1" w:themeTint="D9"/>
      <w:sz w:val="24"/>
    </w:rPr>
  </w:style>
  <w:style w:type="paragraph" w:customStyle="1" w:styleId="Subtitle2">
    <w:name w:val="Subtitle_2"/>
    <w:basedOn w:val="Subtitle"/>
    <w:link w:val="Subtitle2Char"/>
    <w:qFormat/>
    <w:rsid w:val="00537980"/>
    <w:rPr>
      <w:color w:val="262626" w:themeColor="text1" w:themeTint="D9"/>
      <w:sz w:val="28"/>
    </w:rPr>
  </w:style>
  <w:style w:type="paragraph" w:customStyle="1" w:styleId="Subtatle2red">
    <w:name w:val="Subtatle_2red"/>
    <w:basedOn w:val="Subtitle2"/>
    <w:link w:val="Subtatle2redChar"/>
    <w:qFormat/>
    <w:rsid w:val="00D569DF"/>
    <w:rPr>
      <w:color w:val="FF0000"/>
    </w:rPr>
  </w:style>
  <w:style w:type="character" w:customStyle="1" w:styleId="Subtitle2Char">
    <w:name w:val="Subtitle_2 Char"/>
    <w:basedOn w:val="SubtitleChar"/>
    <w:link w:val="Subtitle2"/>
    <w:rsid w:val="00537980"/>
    <w:rPr>
      <w:rFonts w:eastAsiaTheme="majorEastAsia" w:cstheme="majorBidi"/>
      <w:b/>
      <w:iCs/>
      <w:color w:val="262626" w:themeColor="text1" w:themeTint="D9"/>
      <w:spacing w:val="15"/>
      <w:sz w:val="28"/>
      <w:szCs w:val="24"/>
    </w:rPr>
  </w:style>
  <w:style w:type="character" w:customStyle="1" w:styleId="Subtatle2redChar">
    <w:name w:val="Subtatle_2red Char"/>
    <w:basedOn w:val="Subtitle2Char"/>
    <w:link w:val="Subtatle2red"/>
    <w:rsid w:val="00D569DF"/>
    <w:rPr>
      <w:rFonts w:eastAsiaTheme="majorEastAsia" w:cstheme="majorBidi"/>
      <w:b/>
      <w:iCs/>
      <w:color w:val="FF0000"/>
      <w:spacing w:val="15"/>
      <w:sz w:val="28"/>
      <w:szCs w:val="24"/>
    </w:rPr>
  </w:style>
  <w:style w:type="paragraph" w:customStyle="1" w:styleId="Smoll">
    <w:name w:val="Smoll ***"/>
    <w:basedOn w:val="Normalsmoll"/>
    <w:link w:val="SmollChar"/>
    <w:qFormat/>
    <w:rsid w:val="00715B21"/>
    <w:pPr>
      <w:spacing w:before="120" w:after="0"/>
    </w:pPr>
  </w:style>
  <w:style w:type="paragraph" w:customStyle="1" w:styleId="Smoll0">
    <w:name w:val="Smoll** +"/>
    <w:basedOn w:val="Smoll"/>
    <w:link w:val="SmollChar0"/>
    <w:qFormat/>
    <w:rsid w:val="00715B21"/>
    <w:pPr>
      <w:spacing w:after="240"/>
    </w:pPr>
  </w:style>
  <w:style w:type="character" w:customStyle="1" w:styleId="SmollChar">
    <w:name w:val="Smoll *** Char"/>
    <w:basedOn w:val="NormalsmollChar"/>
    <w:link w:val="Smoll"/>
    <w:rsid w:val="00715B21"/>
    <w:rPr>
      <w:color w:val="404040" w:themeColor="text1" w:themeTint="BF"/>
      <w:sz w:val="20"/>
    </w:rPr>
  </w:style>
  <w:style w:type="paragraph" w:customStyle="1" w:styleId="Subtitlered">
    <w:name w:val="Subtitle red"/>
    <w:basedOn w:val="Subtitle"/>
    <w:link w:val="SubtitleredChar"/>
    <w:qFormat/>
    <w:rsid w:val="002D180F"/>
    <w:rPr>
      <w:color w:val="FF0000"/>
    </w:rPr>
  </w:style>
  <w:style w:type="character" w:customStyle="1" w:styleId="SmollChar0">
    <w:name w:val="Smoll** + Char"/>
    <w:basedOn w:val="SmollChar"/>
    <w:link w:val="Smoll0"/>
    <w:rsid w:val="00715B21"/>
    <w:rPr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2D180F"/>
    <w:rPr>
      <w:i/>
      <w:iCs/>
    </w:rPr>
  </w:style>
  <w:style w:type="character" w:customStyle="1" w:styleId="SubtitleredChar">
    <w:name w:val="Subtitle red Char"/>
    <w:basedOn w:val="SubtitleChar"/>
    <w:link w:val="Subtitlered"/>
    <w:rsid w:val="002D180F"/>
    <w:rPr>
      <w:rFonts w:eastAsiaTheme="majorEastAsia" w:cstheme="majorBidi"/>
      <w:b/>
      <w:iCs/>
      <w:color w:val="FF0000"/>
      <w:spacing w:val="15"/>
      <w:sz w:val="24"/>
      <w:szCs w:val="24"/>
    </w:rPr>
  </w:style>
  <w:style w:type="paragraph" w:customStyle="1" w:styleId="normalBS">
    <w:name w:val="normal BS"/>
    <w:basedOn w:val="Normal"/>
    <w:link w:val="normalBSChar"/>
    <w:qFormat/>
    <w:rsid w:val="007E6E19"/>
    <w:pPr>
      <w:spacing w:before="180" w:after="360"/>
    </w:pPr>
  </w:style>
  <w:style w:type="character" w:customStyle="1" w:styleId="normalBSChar">
    <w:name w:val="normal BS Char"/>
    <w:basedOn w:val="DefaultParagraphFont"/>
    <w:link w:val="normalBS"/>
    <w:rsid w:val="007E6E19"/>
    <w:rPr>
      <w:color w:val="404040" w:themeColor="text1" w:themeTint="BF"/>
      <w:sz w:val="24"/>
    </w:rPr>
  </w:style>
  <w:style w:type="paragraph" w:customStyle="1" w:styleId="Heading1-2">
    <w:name w:val="Heading 1-2"/>
    <w:basedOn w:val="Heading1"/>
    <w:link w:val="Heading1-2Char"/>
    <w:rsid w:val="00BF34D3"/>
    <w:pPr>
      <w:spacing w:before="480" w:after="720"/>
    </w:pPr>
    <w:rPr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BF34D3"/>
    <w:pPr>
      <w:spacing w:before="0" w:after="0"/>
    </w:pPr>
    <w:rPr>
      <w:color w:val="auto"/>
      <w:sz w:val="20"/>
      <w:szCs w:val="20"/>
    </w:rPr>
  </w:style>
  <w:style w:type="character" w:customStyle="1" w:styleId="Heading1-2Char">
    <w:name w:val="Heading 1-2 Char"/>
    <w:basedOn w:val="Heading1Char"/>
    <w:link w:val="Heading1-2"/>
    <w:rsid w:val="00BF34D3"/>
    <w:rPr>
      <w:rFonts w:ascii="Cambria" w:eastAsiaTheme="majorEastAsia" w:hAnsi="Cambria" w:cstheme="majorBidi"/>
      <w:b/>
      <w:bCs/>
      <w:caps/>
      <w:smallCaps w:val="0"/>
      <w:color w:val="0D0D0D" w:themeColor="text1" w:themeTint="F2"/>
      <w:sz w:val="4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34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34D3"/>
    <w:rPr>
      <w:vertAlign w:val="superscript"/>
    </w:rPr>
  </w:style>
  <w:style w:type="paragraph" w:customStyle="1" w:styleId="a">
    <w:name w:val="a"/>
    <w:aliases w:val="b,c..."/>
    <w:basedOn w:val="NoSpacing"/>
    <w:link w:val="aChar"/>
    <w:uiPriority w:val="99"/>
    <w:qFormat/>
    <w:rsid w:val="00CB0D61"/>
    <w:pPr>
      <w:numPr>
        <w:numId w:val="6"/>
      </w:numPr>
    </w:pPr>
  </w:style>
  <w:style w:type="paragraph" w:customStyle="1" w:styleId="ABC-2">
    <w:name w:val="ABC-2"/>
    <w:basedOn w:val="a"/>
    <w:link w:val="ABC-2Char"/>
    <w:qFormat/>
    <w:rsid w:val="00D4085A"/>
    <w:pPr>
      <w:numPr>
        <w:numId w:val="7"/>
      </w:numPr>
      <w:ind w:left="1656"/>
    </w:pPr>
    <w:rPr>
      <w:lang w:val="en-GB"/>
    </w:rPr>
  </w:style>
  <w:style w:type="character" w:customStyle="1" w:styleId="aChar">
    <w:name w:val="a Char"/>
    <w:aliases w:val="b Char,c... Char"/>
    <w:basedOn w:val="NoSpacingChar"/>
    <w:link w:val="a"/>
    <w:uiPriority w:val="99"/>
    <w:rsid w:val="00CB0D61"/>
    <w:rPr>
      <w:color w:val="404040" w:themeColor="text1" w:themeTint="BF"/>
      <w:sz w:val="24"/>
    </w:rPr>
  </w:style>
  <w:style w:type="paragraph" w:customStyle="1" w:styleId="N1">
    <w:name w:val="N1"/>
    <w:basedOn w:val="Number1"/>
    <w:link w:val="N1Char"/>
    <w:qFormat/>
    <w:rsid w:val="00E05E53"/>
    <w:rPr>
      <w:lang w:val="en-GB"/>
    </w:rPr>
  </w:style>
  <w:style w:type="character" w:customStyle="1" w:styleId="ABC-2Char">
    <w:name w:val="ABC-2 Char"/>
    <w:basedOn w:val="aChar"/>
    <w:link w:val="ABC-2"/>
    <w:rsid w:val="00D4085A"/>
    <w:rPr>
      <w:color w:val="404040" w:themeColor="text1" w:themeTint="BF"/>
      <w:sz w:val="24"/>
      <w:lang w:val="en-GB"/>
    </w:rPr>
  </w:style>
  <w:style w:type="paragraph" w:customStyle="1" w:styleId="bulet-2">
    <w:name w:val="bulet-2"/>
    <w:basedOn w:val="NoSpacing"/>
    <w:link w:val="bulet-2Char"/>
    <w:qFormat/>
    <w:rsid w:val="005B6852"/>
    <w:pPr>
      <w:ind w:left="1008"/>
    </w:pPr>
  </w:style>
  <w:style w:type="character" w:customStyle="1" w:styleId="N1Char">
    <w:name w:val="N1 Char"/>
    <w:basedOn w:val="Number1Char"/>
    <w:link w:val="N1"/>
    <w:rsid w:val="00E05E53"/>
    <w:rPr>
      <w:color w:val="404040" w:themeColor="text1" w:themeTint="BF"/>
      <w:sz w:val="24"/>
      <w:lang w:val="en-GB"/>
    </w:rPr>
  </w:style>
  <w:style w:type="character" w:customStyle="1" w:styleId="hp">
    <w:name w:val="hp"/>
    <w:basedOn w:val="DefaultParagraphFont"/>
    <w:rsid w:val="009B3EC2"/>
  </w:style>
  <w:style w:type="character" w:customStyle="1" w:styleId="bulet-2Char">
    <w:name w:val="bulet-2 Char"/>
    <w:basedOn w:val="NoSpacingChar"/>
    <w:link w:val="bulet-2"/>
    <w:rsid w:val="005B6852"/>
    <w:rPr>
      <w:color w:val="404040" w:themeColor="text1" w:themeTint="BF"/>
      <w:sz w:val="24"/>
    </w:rPr>
  </w:style>
  <w:style w:type="paragraph" w:customStyle="1" w:styleId="TitleChapter">
    <w:name w:val="Title Chapter"/>
    <w:basedOn w:val="Title"/>
    <w:link w:val="TitleChapterChar"/>
    <w:qFormat/>
    <w:rsid w:val="00E62C94"/>
    <w:rPr>
      <w:caps/>
      <w:smallCaps w:val="0"/>
      <w:color w:val="548DD4" w:themeColor="text2" w:themeTint="99"/>
      <w:sz w:val="80"/>
    </w:rPr>
  </w:style>
  <w:style w:type="paragraph" w:customStyle="1" w:styleId="Titelpage1">
    <w:name w:val="Titel page1"/>
    <w:basedOn w:val="Normal"/>
    <w:link w:val="Titelpage1Char"/>
    <w:qFormat/>
    <w:rsid w:val="00D22D3D"/>
    <w:rPr>
      <w:b/>
      <w:color w:val="FF0000"/>
      <w:sz w:val="80"/>
    </w:rPr>
  </w:style>
  <w:style w:type="character" w:customStyle="1" w:styleId="TitleChapterChar">
    <w:name w:val="Title Chapter Char"/>
    <w:basedOn w:val="TitleChar"/>
    <w:link w:val="TitleChapter"/>
    <w:rsid w:val="00E62C94"/>
    <w:rPr>
      <w:rFonts w:eastAsiaTheme="majorEastAsia" w:cstheme="majorBidi"/>
      <w:b/>
      <w:caps/>
      <w:smallCaps w:val="0"/>
      <w:color w:val="548DD4" w:themeColor="text2" w:themeTint="99"/>
      <w:spacing w:val="5"/>
      <w:kern w:val="28"/>
      <w:sz w:val="80"/>
      <w:szCs w:val="52"/>
    </w:rPr>
  </w:style>
  <w:style w:type="paragraph" w:customStyle="1" w:styleId="TitleBlack">
    <w:name w:val="Title Black"/>
    <w:basedOn w:val="Title"/>
    <w:link w:val="TitleBlackChar"/>
    <w:qFormat/>
    <w:rsid w:val="006916C1"/>
    <w:pPr>
      <w:spacing w:after="360"/>
    </w:pPr>
    <w:rPr>
      <w:color w:val="262626" w:themeColor="text1" w:themeTint="D9"/>
      <w:sz w:val="36"/>
    </w:rPr>
  </w:style>
  <w:style w:type="character" w:customStyle="1" w:styleId="Titelpage1Char">
    <w:name w:val="Titel page1 Char"/>
    <w:basedOn w:val="DefaultParagraphFont"/>
    <w:link w:val="Titelpage1"/>
    <w:rsid w:val="00D22D3D"/>
    <w:rPr>
      <w:b/>
      <w:color w:val="FF0000"/>
      <w:sz w:val="80"/>
    </w:rPr>
  </w:style>
  <w:style w:type="character" w:customStyle="1" w:styleId="TitleBlackChar">
    <w:name w:val="Title Black Char"/>
    <w:basedOn w:val="TitleChar"/>
    <w:link w:val="TitleBlack"/>
    <w:rsid w:val="006916C1"/>
    <w:rPr>
      <w:rFonts w:eastAsiaTheme="majorEastAsia" w:cstheme="majorBidi"/>
      <w:b/>
      <w:smallCaps/>
      <w:color w:val="262626" w:themeColor="text1" w:themeTint="D9"/>
      <w:spacing w:val="5"/>
      <w:kern w:val="28"/>
      <w:sz w:val="36"/>
      <w:szCs w:val="52"/>
    </w:rPr>
  </w:style>
  <w:style w:type="table" w:customStyle="1" w:styleId="PeerGroup">
    <w:name w:val="Peer Group"/>
    <w:basedOn w:val="TableNormal"/>
    <w:uiPriority w:val="99"/>
    <w:rsid w:val="00E44980"/>
    <w:rPr>
      <w:rFonts w:ascii="Calibri" w:hAnsi="Calibri"/>
      <w:sz w:val="16"/>
    </w:rPr>
    <w:tblPr>
      <w:tblStyleRowBandSize w:val="1"/>
      <w:tblInd w:w="0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vAlign w:val="center"/>
    </w:tcPr>
    <w:tblStylePr w:type="firstRow">
      <w:rPr>
        <w:rFonts w:asciiTheme="minorHAnsi" w:hAnsiTheme="minorHAnsi"/>
        <w:b/>
        <w:color w:val="FFFFFF" w:themeColor="background1"/>
      </w:rPr>
      <w:tblPr/>
      <w:tcPr>
        <w:tcBorders>
          <w:bottom w:val="thinThickSmallGap" w:sz="18" w:space="0" w:color="FF0000"/>
          <w:insideH w:val="thinThickSmallGap" w:sz="18" w:space="0" w:color="FF0000"/>
        </w:tcBorders>
        <w:shd w:val="clear" w:color="auto" w:fill="A6A6A6" w:themeFill="background1" w:themeFillShade="A6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smoll09">
    <w:name w:val="smoll 09"/>
    <w:basedOn w:val="Normalsmoll"/>
    <w:link w:val="smoll09Char"/>
    <w:qFormat/>
    <w:rsid w:val="00E44980"/>
    <w:pPr>
      <w:spacing w:before="60" w:after="60"/>
    </w:pPr>
    <w:rPr>
      <w:rFonts w:ascii="Calibri" w:hAnsi="Calibri"/>
      <w:sz w:val="18"/>
    </w:rPr>
  </w:style>
  <w:style w:type="character" w:customStyle="1" w:styleId="smoll09Char">
    <w:name w:val="smoll 09 Char"/>
    <w:basedOn w:val="NormalsmollChar"/>
    <w:link w:val="smoll09"/>
    <w:rsid w:val="00E44980"/>
    <w:rPr>
      <w:rFonts w:ascii="Calibri" w:hAnsi="Calibri"/>
      <w:color w:val="404040" w:themeColor="text1" w:themeTint="BF"/>
      <w:sz w:val="18"/>
    </w:rPr>
  </w:style>
  <w:style w:type="paragraph" w:customStyle="1" w:styleId="ParagraphStyle2">
    <w:name w:val="Paragraph Style 2"/>
    <w:basedOn w:val="Normal"/>
    <w:uiPriority w:val="99"/>
    <w:rsid w:val="00B80A6D"/>
    <w:pPr>
      <w:autoSpaceDE w:val="0"/>
      <w:autoSpaceDN w:val="0"/>
      <w:adjustRightInd w:val="0"/>
      <w:spacing w:before="490"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Normalred">
    <w:name w:val="Normal red"/>
    <w:basedOn w:val="Normal"/>
    <w:link w:val="NormalredChar"/>
    <w:qFormat/>
    <w:rsid w:val="00B80A6D"/>
    <w:pPr>
      <w:spacing w:before="0" w:after="0"/>
      <w:jc w:val="right"/>
    </w:pPr>
    <w:rPr>
      <w:b/>
      <w:color w:val="FF0000"/>
      <w:sz w:val="28"/>
    </w:rPr>
  </w:style>
  <w:style w:type="character" w:customStyle="1" w:styleId="NormalredChar">
    <w:name w:val="Normal red Char"/>
    <w:basedOn w:val="DefaultParagraphFont"/>
    <w:link w:val="Normalred"/>
    <w:rsid w:val="00B80A6D"/>
    <w:rPr>
      <w:b/>
      <w:color w:val="FF000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651A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Default">
    <w:name w:val="Default"/>
    <w:rsid w:val="001716AD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Paragraph">
    <w:name w:val="Paragraph"/>
    <w:basedOn w:val="NormalWeb"/>
    <w:link w:val="ParagraphChar"/>
    <w:qFormat/>
    <w:rsid w:val="009D3492"/>
    <w:pPr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ParagraphChar">
    <w:name w:val="Paragraph Char"/>
    <w:basedOn w:val="DefaultParagraphFont"/>
    <w:link w:val="Paragraph"/>
    <w:rsid w:val="009D3492"/>
    <w:rPr>
      <w:sz w:val="24"/>
      <w:szCs w:val="24"/>
    </w:rPr>
  </w:style>
  <w:style w:type="paragraph" w:styleId="DocumentMap">
    <w:name w:val="Document Map"/>
    <w:basedOn w:val="Normal"/>
    <w:link w:val="DocumentMapChar"/>
    <w:rsid w:val="00015AE2"/>
    <w:pPr>
      <w:spacing w:before="0" w:after="0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rsid w:val="00015AE2"/>
    <w:rPr>
      <w:rFonts w:ascii="Lucida Grande" w:hAnsi="Lucida Grande" w:cs="Lucida Grande"/>
      <w:color w:val="404040" w:themeColor="text1" w:themeTint="BF"/>
      <w:sz w:val="24"/>
      <w:szCs w:val="24"/>
    </w:rPr>
  </w:style>
  <w:style w:type="paragraph" w:styleId="Revision">
    <w:name w:val="Revision"/>
    <w:hidden/>
    <w:rsid w:val="000C3C94"/>
    <w:rPr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9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5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9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7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0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8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6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2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0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0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0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0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0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5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6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9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4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0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9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4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4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5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5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7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2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9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6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85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DFDFDF"/>
            <w:bottom w:val="none" w:sz="0" w:space="0" w:color="auto"/>
            <w:right w:val="single" w:sz="6" w:space="4" w:color="DFDFDF"/>
          </w:divBdr>
          <w:divsChild>
            <w:div w:id="13716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4214">
                  <w:marLeft w:val="0"/>
                  <w:marRight w:val="0"/>
                  <w:marTop w:val="300"/>
                  <w:marBottom w:val="0"/>
                  <w:divBdr>
                    <w:top w:val="dotted" w:sz="2" w:space="0" w:color="FF0000"/>
                    <w:left w:val="dotted" w:sz="2" w:space="0" w:color="FF0000"/>
                    <w:bottom w:val="dotted" w:sz="2" w:space="0" w:color="FF0000"/>
                    <w:right w:val="dotted" w:sz="2" w:space="0" w:color="FF0000"/>
                  </w:divBdr>
                  <w:divsChild>
                    <w:div w:id="19894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E4E4E4"/>
                        <w:left w:val="single" w:sz="2" w:space="4" w:color="E4E4E4"/>
                        <w:bottom w:val="single" w:sz="2" w:space="4" w:color="E4E4E4"/>
                        <w:right w:val="single" w:sz="2" w:space="4" w:color="E4E4E4"/>
                      </w:divBdr>
                      <w:divsChild>
                        <w:div w:id="121886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0682">
          <w:marLeft w:val="0"/>
          <w:marRight w:val="75"/>
          <w:marTop w:val="0"/>
          <w:marBottom w:val="0"/>
          <w:divBdr>
            <w:top w:val="none" w:sz="0" w:space="0" w:color="auto"/>
            <w:left w:val="single" w:sz="6" w:space="2" w:color="DDDDDD"/>
            <w:bottom w:val="single" w:sz="6" w:space="2" w:color="DDDDDD"/>
            <w:right w:val="none" w:sz="0" w:space="0" w:color="auto"/>
          </w:divBdr>
          <w:divsChild>
            <w:div w:id="345987990">
              <w:marLeft w:val="0"/>
              <w:marRight w:val="0"/>
              <w:marTop w:val="0"/>
              <w:marBottom w:val="0"/>
              <w:divBdr>
                <w:top w:val="single" w:sz="6" w:space="8" w:color="A6B5C7"/>
                <w:left w:val="single" w:sz="6" w:space="8" w:color="A6B5C7"/>
                <w:bottom w:val="single" w:sz="6" w:space="8" w:color="A6B5C7"/>
                <w:right w:val="single" w:sz="6" w:space="8" w:color="A6B5C7"/>
              </w:divBdr>
              <w:divsChild>
                <w:div w:id="394426690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single" w:sz="6" w:space="19" w:color="E4E4E4"/>
                    <w:bottom w:val="single" w:sz="6" w:space="8" w:color="E4E4E4"/>
                    <w:right w:val="single" w:sz="6" w:space="15" w:color="E4E4E4"/>
                  </w:divBdr>
                </w:div>
              </w:divsChild>
            </w:div>
          </w:divsChild>
        </w:div>
      </w:divsChild>
    </w:div>
    <w:div w:id="21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30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97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4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38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73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266">
          <w:marLeft w:val="9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389">
          <w:marLeft w:val="9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22">
          <w:marLeft w:val="9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500">
          <w:marLeft w:val="9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830">
          <w:marLeft w:val="9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3901">
          <w:marLeft w:val="9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920">
          <w:marLeft w:val="9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622">
          <w:marLeft w:val="9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715">
          <w:marLeft w:val="9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734">
          <w:marLeft w:val="9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876">
          <w:marLeft w:val="9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2">
          <w:marLeft w:val="9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235">
          <w:marLeft w:val="9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264">
          <w:marLeft w:val="9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921">
          <w:marLeft w:val="9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466">
          <w:marLeft w:val="9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210">
          <w:marLeft w:val="9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580">
          <w:marLeft w:val="9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964">
          <w:marLeft w:val="9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416">
          <w:marLeft w:val="9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281">
          <w:marLeft w:val="9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912">
          <w:marLeft w:val="9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379">
          <w:marLeft w:val="9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616">
          <w:marLeft w:val="9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156">
          <w:marLeft w:val="9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923">
          <w:marLeft w:val="90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836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40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56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59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55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36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5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73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81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99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DFDFDF"/>
            <w:bottom w:val="none" w:sz="0" w:space="0" w:color="auto"/>
            <w:right w:val="single" w:sz="6" w:space="4" w:color="DFDFDF"/>
          </w:divBdr>
          <w:divsChild>
            <w:div w:id="9066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4716">
                  <w:marLeft w:val="0"/>
                  <w:marRight w:val="0"/>
                  <w:marTop w:val="300"/>
                  <w:marBottom w:val="0"/>
                  <w:divBdr>
                    <w:top w:val="dotted" w:sz="2" w:space="0" w:color="FF0000"/>
                    <w:left w:val="dotted" w:sz="2" w:space="0" w:color="FF0000"/>
                    <w:bottom w:val="dotted" w:sz="2" w:space="0" w:color="FF0000"/>
                    <w:right w:val="dotted" w:sz="2" w:space="0" w:color="FF0000"/>
                  </w:divBdr>
                  <w:divsChild>
                    <w:div w:id="1287150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E4E4E4"/>
                        <w:left w:val="single" w:sz="2" w:space="4" w:color="E4E4E4"/>
                        <w:bottom w:val="single" w:sz="2" w:space="4" w:color="E4E4E4"/>
                        <w:right w:val="single" w:sz="2" w:space="4" w:color="E4E4E4"/>
                      </w:divBdr>
                      <w:divsChild>
                        <w:div w:id="15343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1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1986">
          <w:marLeft w:val="0"/>
          <w:marRight w:val="75"/>
          <w:marTop w:val="0"/>
          <w:marBottom w:val="0"/>
          <w:divBdr>
            <w:top w:val="none" w:sz="0" w:space="0" w:color="auto"/>
            <w:left w:val="single" w:sz="6" w:space="2" w:color="DDDDDD"/>
            <w:bottom w:val="single" w:sz="6" w:space="2" w:color="DDDDDD"/>
            <w:right w:val="none" w:sz="0" w:space="0" w:color="auto"/>
          </w:divBdr>
          <w:divsChild>
            <w:div w:id="782042764">
              <w:marLeft w:val="0"/>
              <w:marRight w:val="0"/>
              <w:marTop w:val="0"/>
              <w:marBottom w:val="0"/>
              <w:divBdr>
                <w:top w:val="single" w:sz="6" w:space="8" w:color="A6B5C7"/>
                <w:left w:val="single" w:sz="6" w:space="8" w:color="A6B5C7"/>
                <w:bottom w:val="single" w:sz="6" w:space="8" w:color="A6B5C7"/>
                <w:right w:val="single" w:sz="6" w:space="8" w:color="A6B5C7"/>
              </w:divBdr>
              <w:divsChild>
                <w:div w:id="1053698856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single" w:sz="6" w:space="19" w:color="E4E4E4"/>
                    <w:bottom w:val="single" w:sz="6" w:space="8" w:color="E4E4E4"/>
                    <w:right w:val="single" w:sz="6" w:space="15" w:color="E4E4E4"/>
                  </w:divBdr>
                </w:div>
              </w:divsChild>
            </w:div>
          </w:divsChild>
        </w:div>
      </w:divsChild>
    </w:div>
    <w:div w:id="1328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0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9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8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618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70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20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2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Macintosh%20HD:Users:azat:Desktop:DR%20managemen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zat:Desktop:Work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Sheet1!$B$5:$B$8</c:f>
              <c:strCache>
                <c:ptCount val="4"/>
                <c:pt idx="0">
                  <c:v>BNY Mellon</c:v>
                </c:pt>
                <c:pt idx="1">
                  <c:v>Deutsche Bank</c:v>
                </c:pt>
                <c:pt idx="2">
                  <c:v>Citibank</c:v>
                </c:pt>
                <c:pt idx="3">
                  <c:v>JP Morgan </c:v>
                </c:pt>
              </c:strCache>
            </c:strRef>
          </c:cat>
          <c:val>
            <c:numRef>
              <c:f>Sheet1!$C$5:$C$8</c:f>
              <c:numCache>
                <c:formatCode>0%</c:formatCode>
                <c:ptCount val="4"/>
                <c:pt idx="0">
                  <c:v>0.6</c:v>
                </c:pt>
                <c:pt idx="1">
                  <c:v>0.14000000000000001</c:v>
                </c:pt>
                <c:pt idx="2">
                  <c:v>0.15</c:v>
                </c:pt>
                <c:pt idx="3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/>
              <a:t>Ежегодная фиксированная Комиссия с инвесторов ($/</a:t>
            </a:r>
            <a:r>
              <a:rPr lang="ru-RU"/>
              <a:t>ДР</a:t>
            </a:r>
            <a:r>
              <a:rPr lang="en-US"/>
              <a:t> в год)  </a:t>
            </a:r>
            <a:r>
              <a:rPr lang="ru-RU"/>
              <a:t>против</a:t>
            </a:r>
            <a:r>
              <a:rPr lang="ru-RU" baseline="0"/>
              <a:t> </a:t>
            </a:r>
            <a:r>
              <a:rPr lang="en-US"/>
              <a:t> % возмещения </a:t>
            </a:r>
            <a:r>
              <a:rPr lang="ru-RU"/>
              <a:t>от</a:t>
            </a:r>
            <a:r>
              <a:rPr lang="en-US"/>
              <a:t> выручки банка депозитария  (correlation 0.410)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000834928260401"/>
          <c:y val="0.13368700265252001"/>
          <c:w val="0.85663523911060901"/>
          <c:h val="0.73807264145032303"/>
        </c:manualLayout>
      </c:layout>
      <c:scatterChart>
        <c:scatterStyle val="lineMarker"/>
        <c:varyColors val="0"/>
        <c:ser>
          <c:idx val="0"/>
          <c:order val="0"/>
          <c:spPr>
            <a:ln w="47625">
              <a:noFill/>
            </a:ln>
          </c:spPr>
          <c:marker>
            <c:symbol val="circle"/>
            <c:size val="3"/>
          </c:marker>
          <c:trendline>
            <c:trendlineType val="exp"/>
            <c:dispRSqr val="0"/>
            <c:dispEq val="0"/>
          </c:trendline>
          <c:xVal>
            <c:numRef>
              <c:f>Sheet1!$D$6:$D$20</c:f>
              <c:numCache>
                <c:formatCode>0%</c:formatCode>
                <c:ptCount val="15"/>
                <c:pt idx="0">
                  <c:v>0.35</c:v>
                </c:pt>
                <c:pt idx="1">
                  <c:v>0.75</c:v>
                </c:pt>
                <c:pt idx="2">
                  <c:v>0.75</c:v>
                </c:pt>
                <c:pt idx="3">
                  <c:v>0.45</c:v>
                </c:pt>
                <c:pt idx="4">
                  <c:v>0.6</c:v>
                </c:pt>
                <c:pt idx="5">
                  <c:v>0.9</c:v>
                </c:pt>
                <c:pt idx="6">
                  <c:v>0.6</c:v>
                </c:pt>
                <c:pt idx="7">
                  <c:v>0.6</c:v>
                </c:pt>
                <c:pt idx="8">
                  <c:v>0.5</c:v>
                </c:pt>
                <c:pt idx="9">
                  <c:v>0.9</c:v>
                </c:pt>
                <c:pt idx="10">
                  <c:v>0.85</c:v>
                </c:pt>
                <c:pt idx="11">
                  <c:v>0.95</c:v>
                </c:pt>
                <c:pt idx="12">
                  <c:v>0.85</c:v>
                </c:pt>
                <c:pt idx="13">
                  <c:v>0.75</c:v>
                </c:pt>
                <c:pt idx="14">
                  <c:v>0.8</c:v>
                </c:pt>
              </c:numCache>
            </c:numRef>
          </c:xVal>
          <c:yVal>
            <c:numRef>
              <c:f>Sheet1!$E$6:$E$20</c:f>
              <c:numCache>
                <c:formatCode>[$$-409]#\ ##0.00</c:formatCode>
                <c:ptCount val="15"/>
                <c:pt idx="0">
                  <c:v>0.02</c:v>
                </c:pt>
                <c:pt idx="1">
                  <c:v>0.04</c:v>
                </c:pt>
                <c:pt idx="2">
                  <c:v>0.03</c:v>
                </c:pt>
                <c:pt idx="3">
                  <c:v>0.02</c:v>
                </c:pt>
                <c:pt idx="4" formatCode="[$$-409]#\ ##0.000">
                  <c:v>3.5000000000000003E-2</c:v>
                </c:pt>
                <c:pt idx="5">
                  <c:v>0.03</c:v>
                </c:pt>
                <c:pt idx="6">
                  <c:v>0.02</c:v>
                </c:pt>
                <c:pt idx="7">
                  <c:v>0.03</c:v>
                </c:pt>
                <c:pt idx="8">
                  <c:v>0.04</c:v>
                </c:pt>
                <c:pt idx="9">
                  <c:v>0.04</c:v>
                </c:pt>
                <c:pt idx="10">
                  <c:v>0.04</c:v>
                </c:pt>
                <c:pt idx="11">
                  <c:v>0.03</c:v>
                </c:pt>
                <c:pt idx="12">
                  <c:v>0.03</c:v>
                </c:pt>
                <c:pt idx="13">
                  <c:v>0.02</c:v>
                </c:pt>
                <c:pt idx="14">
                  <c:v>0.03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704832"/>
        <c:axId val="211720448"/>
      </c:scatterChart>
      <c:valAx>
        <c:axId val="2117048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% возмещения с выручки банка депозитария </a:t>
                </a: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crossAx val="211720448"/>
        <c:crosses val="autoZero"/>
        <c:crossBetween val="midCat"/>
      </c:valAx>
      <c:valAx>
        <c:axId val="211720448"/>
        <c:scaling>
          <c:orientation val="minMax"/>
        </c:scaling>
        <c:delete val="0"/>
        <c:axPos val="l"/>
        <c:majorGridlines>
          <c:spPr>
            <a:ln>
              <a:solidFill>
                <a:srgbClr val="EEEEFF">
                  <a:alpha val="35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/>
                  <a:t>Ежегодная </a:t>
                </a:r>
                <a:r>
                  <a:rPr lang="ru-RU" sz="1000"/>
                  <a:t>к</a:t>
                </a:r>
                <a:r>
                  <a:rPr lang="en-US" sz="1000"/>
                  <a:t>омиссия с инвесторов ($/</a:t>
                </a:r>
                <a:r>
                  <a:rPr lang="ru-RU" sz="1000"/>
                  <a:t>ДР</a:t>
                </a:r>
                <a:r>
                  <a:rPr lang="ru-RU" sz="1000" baseline="0"/>
                  <a:t> </a:t>
                </a:r>
                <a:r>
                  <a:rPr lang="en-US" sz="1000"/>
                  <a:t>в год) </a:t>
                </a:r>
              </a:p>
            </c:rich>
          </c:tx>
          <c:overlay val="0"/>
        </c:title>
        <c:numFmt formatCode="[$$-409]#\ ##0.00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211704832"/>
        <c:crosses val="autoZero"/>
        <c:crossBetween val="midCat"/>
      </c:valAx>
      <c:spPr>
        <a:effectLst>
          <a:outerShdw blurRad="180975" dist="139700" dir="2700000" algn="tl" rotWithShape="0">
            <a:srgbClr val="000000">
              <a:alpha val="27000"/>
            </a:srgbClr>
          </a:outerShdw>
        </a:effectLst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Reimbursement (Revenue Sharing from BNYM's Gross Revenue)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Sheet1!$A$7</c:f>
              <c:strCache>
                <c:ptCount val="1"/>
                <c:pt idx="0">
                  <c:v>Reimbursement (Revenue Sharing from BNYM's Gross Revenue)</c:v>
                </c:pt>
              </c:strCache>
            </c:strRef>
          </c:tx>
          <c:invertIfNegative val="0"/>
          <c:cat>
            <c:numRef>
              <c:f>Sheet1!$B$6:$C$6</c:f>
              <c:numCache>
                <c:formatCode>General</c:formatCode>
                <c:ptCount val="2"/>
                <c:pt idx="0">
                  <c:v>2009</c:v>
                </c:pt>
                <c:pt idx="1">
                  <c:v>2014</c:v>
                </c:pt>
              </c:numCache>
            </c:numRef>
          </c:cat>
          <c:val>
            <c:numRef>
              <c:f>Sheet1!$B$7:$C$7</c:f>
              <c:numCache>
                <c:formatCode>0%</c:formatCode>
                <c:ptCount val="2"/>
                <c:pt idx="0">
                  <c:v>0.48</c:v>
                </c:pt>
                <c:pt idx="1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729088"/>
        <c:axId val="219689344"/>
      </c:barChart>
      <c:catAx>
        <c:axId val="218729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9689344"/>
        <c:crosses val="autoZero"/>
        <c:auto val="1"/>
        <c:lblAlgn val="ctr"/>
        <c:lblOffset val="100"/>
        <c:noMultiLvlLbl val="0"/>
      </c:catAx>
      <c:valAx>
        <c:axId val="2196893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8729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0.35185</cdr:x>
      <cdr:y>0.54786</cdr:y>
    </cdr:from>
    <cdr:to>
      <cdr:x>0.49731</cdr:x>
      <cdr:y>0.79648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171700" y="1889760"/>
          <a:ext cx="897809" cy="8575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Газпром</a:t>
          </a:r>
          <a:endParaRPr lang="en-US" sz="1100"/>
        </a:p>
      </cdr:txBody>
    </cdr:sp>
  </cdr:relSizeAnchor>
  <cdr:relSizeAnchor xmlns:cdr="http://schemas.openxmlformats.org/drawingml/2006/chartDrawing">
    <cdr:from>
      <cdr:x>0.46296</cdr:x>
      <cdr:y>0.54786</cdr:y>
    </cdr:from>
    <cdr:to>
      <cdr:x>0.59023</cdr:x>
      <cdr:y>0.79648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2857500" y="1889760"/>
          <a:ext cx="785536" cy="8575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Лукойл</a:t>
          </a:r>
          <a:endParaRPr lang="en-US" sz="1100"/>
        </a:p>
      </cdr:txBody>
    </cdr:sp>
  </cdr:relSizeAnchor>
  <cdr:relSizeAnchor xmlns:cdr="http://schemas.openxmlformats.org/drawingml/2006/chartDrawing">
    <cdr:from>
      <cdr:x>0.59259</cdr:x>
      <cdr:y>0.54786</cdr:y>
    </cdr:from>
    <cdr:to>
      <cdr:x>0.74074</cdr:x>
      <cdr:y>0.81296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3657600" y="188976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Русгидро</a:t>
          </a:r>
          <a:endParaRPr lang="en-US" sz="1100"/>
        </a:p>
      </cdr:txBody>
    </cdr:sp>
  </cdr:relSizeAnchor>
  <cdr:relSizeAnchor xmlns:cdr="http://schemas.openxmlformats.org/drawingml/2006/chartDrawing">
    <cdr:from>
      <cdr:x>0.61111</cdr:x>
      <cdr:y>0.31591</cdr:y>
    </cdr:from>
    <cdr:to>
      <cdr:x>0.74074</cdr:x>
      <cdr:y>0.38218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3771900" y="1089660"/>
          <a:ext cx="8001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Уралкалий</a:t>
          </a:r>
          <a:endParaRPr lang="en-US" sz="1100"/>
        </a:p>
      </cdr:txBody>
    </cdr:sp>
  </cdr:relSizeAnchor>
  <cdr:relSizeAnchor xmlns:cdr="http://schemas.openxmlformats.org/drawingml/2006/chartDrawing">
    <cdr:from>
      <cdr:x>0.61111</cdr:x>
      <cdr:y>0.24963</cdr:y>
    </cdr:from>
    <cdr:to>
      <cdr:x>0.75926</cdr:x>
      <cdr:y>0.51473</cdr:y>
    </cdr:to>
    <cdr:sp macro="" textlink="">
      <cdr:nvSpPr>
        <cdr:cNvPr id="6" name="Text Box 5"/>
        <cdr:cNvSpPr txBox="1"/>
      </cdr:nvSpPr>
      <cdr:spPr>
        <a:xfrm xmlns:a="http://schemas.openxmlformats.org/drawingml/2006/main">
          <a:off x="3771900" y="86106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Сургутнефтегаз</a:t>
          </a:r>
          <a:endParaRPr lang="en-US" sz="1100"/>
        </a:p>
      </cdr:txBody>
    </cdr:sp>
  </cdr:relSizeAnchor>
  <cdr:relSizeAnchor xmlns:cdr="http://schemas.openxmlformats.org/drawingml/2006/chartDrawing">
    <cdr:from>
      <cdr:x>0.51852</cdr:x>
      <cdr:y>0.15022</cdr:y>
    </cdr:from>
    <cdr:to>
      <cdr:x>0.62963</cdr:x>
      <cdr:y>0.21649</cdr:y>
    </cdr:to>
    <cdr:sp macro="" textlink="">
      <cdr:nvSpPr>
        <cdr:cNvPr id="7" name="Text Box 6"/>
        <cdr:cNvSpPr txBox="1"/>
      </cdr:nvSpPr>
      <cdr:spPr>
        <a:xfrm xmlns:a="http://schemas.openxmlformats.org/drawingml/2006/main">
          <a:off x="3200400" y="518160"/>
          <a:ext cx="6858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Татнефть</a:t>
          </a:r>
          <a:endParaRPr lang="en-US" sz="1100"/>
        </a:p>
      </cdr:txBody>
    </cdr:sp>
  </cdr:relSizeAnchor>
  <cdr:relSizeAnchor xmlns:cdr="http://schemas.openxmlformats.org/drawingml/2006/chartDrawing">
    <cdr:from>
      <cdr:x>0.74074</cdr:x>
      <cdr:y>0.54786</cdr:y>
    </cdr:from>
    <cdr:to>
      <cdr:x>0.87037</cdr:x>
      <cdr:y>0.61414</cdr:y>
    </cdr:to>
    <cdr:sp macro="" textlink="">
      <cdr:nvSpPr>
        <cdr:cNvPr id="8" name="Text Box 7"/>
        <cdr:cNvSpPr txBox="1"/>
      </cdr:nvSpPr>
      <cdr:spPr>
        <a:xfrm xmlns:a="http://schemas.openxmlformats.org/drawingml/2006/main">
          <a:off x="4572000" y="1889760"/>
          <a:ext cx="8001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Интер Рао</a:t>
          </a:r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AMA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D1C24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0D24-9DAC-4E1C-9DFD-11303C54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4914</Words>
  <Characters>28015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AMAG</Company>
  <LinksUpToDate>false</LinksUpToDate>
  <CharactersWithSpaces>32864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Wolcott Wheeler</cp:lastModifiedBy>
  <cp:revision>3</cp:revision>
  <cp:lastPrinted>2014-01-24T08:19:00Z</cp:lastPrinted>
  <dcterms:created xsi:type="dcterms:W3CDTF">2014-01-24T19:37:00Z</dcterms:created>
  <dcterms:modified xsi:type="dcterms:W3CDTF">2014-01-24T19:37:00Z</dcterms:modified>
</cp:coreProperties>
</file>